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6CC60" w14:textId="2A511F5C" w:rsidR="000611C6" w:rsidRPr="000611C6" w:rsidRDefault="000611C6" w:rsidP="000611C6">
      <w:pPr>
        <w:pStyle w:val="NoSpacing"/>
        <w:contextualSpacing/>
        <w:jc w:val="both"/>
        <w:rPr>
          <w:rFonts w:ascii="Arial" w:hAnsi="Arial" w:cs="Arial"/>
          <w:b/>
          <w:sz w:val="28"/>
          <w:szCs w:val="28"/>
          <w:lang w:val="en-GB"/>
        </w:rPr>
      </w:pPr>
      <w:r w:rsidRPr="000611C6">
        <w:rPr>
          <w:rFonts w:ascii="Arial" w:hAnsi="Arial" w:cs="Arial"/>
          <w:b/>
          <w:sz w:val="28"/>
          <w:szCs w:val="28"/>
          <w:lang w:val="en-GB"/>
        </w:rPr>
        <w:t>3GPP TSG RAN WG4 #11</w:t>
      </w:r>
      <w:r w:rsidR="00FE5E6B">
        <w:rPr>
          <w:rFonts w:ascii="Arial" w:hAnsi="Arial" w:cs="Arial"/>
          <w:b/>
          <w:sz w:val="28"/>
          <w:szCs w:val="28"/>
          <w:lang w:val="en-GB"/>
        </w:rPr>
        <w:t>3</w:t>
      </w:r>
      <w:r w:rsidRPr="000611C6">
        <w:rPr>
          <w:rFonts w:ascii="Arial" w:hAnsi="Arial" w:cs="Arial"/>
          <w:b/>
          <w:sz w:val="28"/>
          <w:szCs w:val="28"/>
          <w:lang w:val="en-GB"/>
        </w:rPr>
        <w:tab/>
      </w:r>
      <w:r w:rsidRPr="000611C6">
        <w:rPr>
          <w:rFonts w:ascii="Arial" w:hAnsi="Arial" w:cs="Arial"/>
          <w:b/>
          <w:sz w:val="28"/>
          <w:szCs w:val="28"/>
          <w:lang w:val="en-GB"/>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sidRPr="000611C6">
        <w:rPr>
          <w:rFonts w:ascii="Arial" w:hAnsi="Arial" w:cs="Arial"/>
          <w:b/>
          <w:sz w:val="28"/>
          <w:szCs w:val="28"/>
          <w:lang w:val="en-GB" w:eastAsia="zh-CN"/>
        </w:rPr>
        <w:tab/>
      </w:r>
      <w:r>
        <w:rPr>
          <w:rFonts w:ascii="Arial" w:hAnsi="Arial" w:cs="Arial"/>
          <w:b/>
          <w:sz w:val="28"/>
          <w:szCs w:val="28"/>
          <w:lang w:val="en-GB" w:eastAsia="zh-CN"/>
        </w:rPr>
        <w:t xml:space="preserve">     </w:t>
      </w:r>
      <w:r w:rsidR="00FE5E6B">
        <w:rPr>
          <w:rFonts w:ascii="Arial" w:hAnsi="Arial" w:cs="Arial"/>
          <w:b/>
          <w:sz w:val="28"/>
          <w:szCs w:val="28"/>
          <w:lang w:val="en-GB" w:eastAsia="zh-CN"/>
        </w:rPr>
        <w:t xml:space="preserve">       </w:t>
      </w:r>
      <w:r w:rsidR="007D35F2" w:rsidRPr="007D35F2">
        <w:rPr>
          <w:rFonts w:ascii="Arial" w:hAnsi="Arial" w:cs="Arial"/>
          <w:b/>
          <w:sz w:val="28"/>
          <w:szCs w:val="28"/>
          <w:lang w:val="en-GB"/>
        </w:rPr>
        <w:t>R4-2419555</w:t>
      </w:r>
    </w:p>
    <w:p w14:paraId="68BB5185" w14:textId="2AA39119" w:rsidR="000611C6" w:rsidRPr="00E913CF" w:rsidRDefault="00FE5E6B" w:rsidP="000611C6">
      <w:pPr>
        <w:pStyle w:val="NoSpacing"/>
        <w:contextualSpacing/>
        <w:jc w:val="both"/>
        <w:rPr>
          <w:rFonts w:ascii="Arial" w:hAnsi="Arial" w:cs="Arial"/>
          <w:b/>
          <w:sz w:val="28"/>
          <w:szCs w:val="28"/>
        </w:rPr>
      </w:pPr>
      <w:r>
        <w:rPr>
          <w:rFonts w:ascii="Arial" w:hAnsi="Arial" w:cs="Arial"/>
          <w:b/>
          <w:sz w:val="28"/>
          <w:szCs w:val="28"/>
        </w:rPr>
        <w:t>Orlando</w:t>
      </w:r>
      <w:r w:rsidR="000611C6">
        <w:rPr>
          <w:rFonts w:ascii="Arial" w:hAnsi="Arial" w:cs="Arial"/>
          <w:b/>
          <w:sz w:val="28"/>
          <w:szCs w:val="28"/>
        </w:rPr>
        <w:t xml:space="preserve">, </w:t>
      </w:r>
      <w:r>
        <w:rPr>
          <w:rFonts w:ascii="Arial" w:hAnsi="Arial" w:cs="Arial"/>
          <w:b/>
          <w:sz w:val="28"/>
          <w:szCs w:val="28"/>
        </w:rPr>
        <w:t>USA</w:t>
      </w:r>
      <w:r w:rsidR="000611C6">
        <w:rPr>
          <w:rFonts w:ascii="Arial" w:hAnsi="Arial" w:cs="Arial"/>
          <w:b/>
          <w:sz w:val="28"/>
          <w:szCs w:val="28"/>
        </w:rPr>
        <w:t xml:space="preserve">, </w:t>
      </w:r>
      <w:r>
        <w:rPr>
          <w:rFonts w:ascii="Arial" w:hAnsi="Arial" w:cs="Arial"/>
          <w:b/>
          <w:sz w:val="28"/>
          <w:szCs w:val="28"/>
        </w:rPr>
        <w:t>November</w:t>
      </w:r>
      <w:r w:rsidR="000611C6">
        <w:rPr>
          <w:rFonts w:ascii="Arial" w:hAnsi="Arial" w:cs="Arial"/>
          <w:b/>
          <w:sz w:val="28"/>
          <w:szCs w:val="28"/>
        </w:rPr>
        <w:t xml:space="preserve"> 1</w:t>
      </w:r>
      <w:r>
        <w:rPr>
          <w:rFonts w:ascii="Arial" w:hAnsi="Arial" w:cs="Arial"/>
          <w:b/>
          <w:sz w:val="28"/>
          <w:szCs w:val="28"/>
        </w:rPr>
        <w:t>8</w:t>
      </w:r>
      <w:r w:rsidR="000611C6" w:rsidRPr="00C05EFB">
        <w:rPr>
          <w:rFonts w:ascii="Arial" w:hAnsi="Arial" w:cs="Arial"/>
          <w:b/>
          <w:sz w:val="28"/>
          <w:szCs w:val="28"/>
          <w:vertAlign w:val="superscript"/>
        </w:rPr>
        <w:t>th</w:t>
      </w:r>
      <w:r w:rsidR="000611C6">
        <w:rPr>
          <w:rFonts w:ascii="Arial" w:hAnsi="Arial" w:cs="Arial"/>
          <w:b/>
          <w:sz w:val="28"/>
          <w:szCs w:val="28"/>
        </w:rPr>
        <w:t xml:space="preserve"> </w:t>
      </w:r>
      <w:r w:rsidR="000611C6" w:rsidRPr="00E913CF">
        <w:rPr>
          <w:rFonts w:ascii="Arial" w:hAnsi="Arial" w:cs="Arial"/>
          <w:b/>
          <w:sz w:val="28"/>
          <w:szCs w:val="28"/>
        </w:rPr>
        <w:t>–</w:t>
      </w:r>
      <w:r w:rsidR="000611C6">
        <w:rPr>
          <w:rFonts w:ascii="Arial" w:hAnsi="Arial" w:cs="Arial"/>
          <w:b/>
          <w:sz w:val="28"/>
          <w:szCs w:val="28"/>
        </w:rPr>
        <w:t xml:space="preserve"> </w:t>
      </w:r>
      <w:r>
        <w:rPr>
          <w:rFonts w:ascii="Arial" w:hAnsi="Arial" w:cs="Arial"/>
          <w:b/>
          <w:sz w:val="28"/>
          <w:szCs w:val="28"/>
        </w:rPr>
        <w:t>22</w:t>
      </w:r>
      <w:r>
        <w:rPr>
          <w:rFonts w:ascii="Arial" w:hAnsi="Arial" w:cs="Arial"/>
          <w:b/>
          <w:sz w:val="28"/>
          <w:szCs w:val="28"/>
          <w:vertAlign w:val="superscript"/>
        </w:rPr>
        <w:t>nd</w:t>
      </w:r>
      <w:r w:rsidR="000611C6" w:rsidRPr="00E913CF">
        <w:rPr>
          <w:rFonts w:ascii="Arial" w:hAnsi="Arial" w:cs="Arial"/>
          <w:b/>
          <w:sz w:val="28"/>
          <w:szCs w:val="28"/>
        </w:rPr>
        <w:t>, 202</w:t>
      </w:r>
      <w:r w:rsidR="000611C6">
        <w:rPr>
          <w:rFonts w:ascii="Arial" w:hAnsi="Arial" w:cs="Arial"/>
          <w:b/>
          <w:sz w:val="28"/>
          <w:szCs w:val="28"/>
        </w:rPr>
        <w:t>4</w:t>
      </w:r>
    </w:p>
    <w:p w14:paraId="75334291" w14:textId="77777777" w:rsidR="000611C6" w:rsidRPr="000D3066" w:rsidRDefault="000611C6" w:rsidP="000611C6">
      <w:pPr>
        <w:pStyle w:val="NoSpacing"/>
        <w:contextualSpacing/>
        <w:jc w:val="both"/>
        <w:rPr>
          <w:rFonts w:ascii="Arial" w:hAnsi="Arial" w:cs="Arial"/>
          <w:b/>
          <w:sz w:val="24"/>
          <w:szCs w:val="24"/>
          <w:lang w:eastAsia="zh-CN"/>
        </w:rPr>
      </w:pPr>
    </w:p>
    <w:p w14:paraId="4A8D9A0E" w14:textId="77777777" w:rsidR="000611C6" w:rsidRPr="000D3066" w:rsidRDefault="000611C6" w:rsidP="000611C6">
      <w:pPr>
        <w:pStyle w:val="NoSpacing"/>
        <w:contextualSpacing/>
        <w:jc w:val="both"/>
        <w:rPr>
          <w:rFonts w:ascii="Arial" w:hAnsi="Arial" w:cs="Arial"/>
          <w:b/>
          <w:sz w:val="24"/>
          <w:szCs w:val="24"/>
          <w:lang w:eastAsia="zh-CN"/>
        </w:rPr>
      </w:pPr>
    </w:p>
    <w:p w14:paraId="355BDBC9" w14:textId="7B041BE2" w:rsidR="000611C6" w:rsidRPr="00B96A5D" w:rsidRDefault="000611C6" w:rsidP="000611C6">
      <w:pPr>
        <w:pStyle w:val="NoSpacing"/>
        <w:contextualSpacing/>
        <w:jc w:val="both"/>
        <w:rPr>
          <w:rFonts w:ascii="Arial" w:hAnsi="Arial" w:cs="Arial"/>
          <w:b/>
          <w:sz w:val="24"/>
          <w:szCs w:val="24"/>
          <w:lang w:val="sv-FI" w:eastAsia="zh-CN"/>
        </w:rPr>
      </w:pPr>
      <w:r w:rsidRPr="00B96A5D">
        <w:rPr>
          <w:rFonts w:ascii="Arial" w:hAnsi="Arial" w:cs="Arial"/>
          <w:b/>
          <w:sz w:val="24"/>
          <w:szCs w:val="24"/>
          <w:lang w:val="sv-FI"/>
        </w:rPr>
        <w:t>Agenda Item:</w:t>
      </w:r>
      <w:r w:rsidRPr="00B96A5D">
        <w:rPr>
          <w:rFonts w:ascii="Arial" w:hAnsi="Arial" w:cs="Arial"/>
          <w:b/>
          <w:sz w:val="24"/>
          <w:szCs w:val="24"/>
          <w:lang w:val="sv-FI"/>
        </w:rPr>
        <w:tab/>
      </w:r>
      <w:r w:rsidRPr="00B96A5D">
        <w:rPr>
          <w:rFonts w:ascii="Arial" w:hAnsi="Arial" w:cs="Arial"/>
          <w:b/>
          <w:sz w:val="24"/>
          <w:szCs w:val="24"/>
          <w:lang w:val="sv-FI"/>
        </w:rPr>
        <w:tab/>
      </w:r>
      <w:r w:rsidR="0021591E">
        <w:rPr>
          <w:rFonts w:ascii="Arial" w:hAnsi="Arial" w:cs="Arial"/>
          <w:b/>
          <w:sz w:val="24"/>
          <w:szCs w:val="24"/>
          <w:lang w:val="en-GB"/>
        </w:rPr>
        <w:t>6</w:t>
      </w:r>
      <w:r w:rsidR="0021591E" w:rsidRPr="00647BAC">
        <w:rPr>
          <w:rFonts w:ascii="Arial" w:hAnsi="Arial" w:cs="Arial"/>
          <w:b/>
          <w:sz w:val="24"/>
          <w:szCs w:val="24"/>
          <w:lang w:val="en-GB"/>
        </w:rPr>
        <w:t>.19.</w:t>
      </w:r>
      <w:r w:rsidR="0021591E">
        <w:rPr>
          <w:rFonts w:ascii="Arial" w:hAnsi="Arial" w:cs="Arial"/>
          <w:b/>
          <w:sz w:val="24"/>
          <w:szCs w:val="24"/>
          <w:lang w:val="en-GB"/>
        </w:rPr>
        <w:t>1</w:t>
      </w:r>
    </w:p>
    <w:p w14:paraId="200B798D" w14:textId="0B721D92" w:rsidR="000611C6" w:rsidRPr="00FE5E6B" w:rsidRDefault="000611C6" w:rsidP="000611C6">
      <w:pPr>
        <w:pStyle w:val="NoSpacing"/>
        <w:contextualSpacing/>
        <w:jc w:val="both"/>
        <w:rPr>
          <w:rFonts w:ascii="Arial" w:eastAsia="SimSun" w:hAnsi="Arial" w:cs="Arial"/>
          <w:b/>
          <w:sz w:val="24"/>
          <w:szCs w:val="24"/>
          <w:lang w:val="sv-FI"/>
        </w:rPr>
      </w:pPr>
      <w:r w:rsidRPr="00FE5E6B">
        <w:rPr>
          <w:rFonts w:ascii="Arial" w:hAnsi="Arial" w:cs="Arial"/>
          <w:b/>
          <w:sz w:val="24"/>
          <w:szCs w:val="24"/>
          <w:lang w:val="sv-FI"/>
        </w:rPr>
        <w:t>Source:</w:t>
      </w:r>
      <w:r w:rsidRPr="00FE5E6B">
        <w:rPr>
          <w:rFonts w:ascii="Arial" w:hAnsi="Arial" w:cs="Arial"/>
          <w:b/>
          <w:sz w:val="24"/>
          <w:szCs w:val="24"/>
          <w:lang w:val="sv-FI"/>
        </w:rPr>
        <w:tab/>
      </w:r>
      <w:r w:rsidRPr="00FE5E6B">
        <w:rPr>
          <w:rFonts w:ascii="Arial" w:hAnsi="Arial" w:cs="Arial"/>
          <w:b/>
          <w:sz w:val="24"/>
          <w:szCs w:val="24"/>
          <w:lang w:val="sv-FI"/>
        </w:rPr>
        <w:tab/>
      </w:r>
      <w:r w:rsidRPr="00FE5E6B">
        <w:rPr>
          <w:rFonts w:ascii="Arial" w:hAnsi="Arial" w:cs="Arial"/>
          <w:b/>
          <w:sz w:val="24"/>
          <w:szCs w:val="24"/>
          <w:lang w:val="sv-FI"/>
        </w:rPr>
        <w:tab/>
      </w:r>
      <w:r w:rsidRPr="00FE5E6B">
        <w:rPr>
          <w:rFonts w:ascii="Arial" w:hAnsi="Arial" w:cs="Arial"/>
          <w:b/>
          <w:sz w:val="24"/>
          <w:szCs w:val="24"/>
          <w:lang w:val="sv-FI"/>
        </w:rPr>
        <w:tab/>
        <w:t>Inmarsat</w:t>
      </w:r>
      <w:r w:rsidR="00C34DFF" w:rsidRPr="00FE5E6B">
        <w:rPr>
          <w:rFonts w:ascii="Arial" w:hAnsi="Arial" w:cs="Arial"/>
          <w:b/>
          <w:sz w:val="24"/>
          <w:szCs w:val="24"/>
          <w:lang w:val="sv-FI"/>
        </w:rPr>
        <w:t>, Viasat</w:t>
      </w:r>
    </w:p>
    <w:p w14:paraId="7342CD4B" w14:textId="517C5D7A" w:rsidR="000611C6" w:rsidRDefault="000611C6" w:rsidP="000611C6">
      <w:pPr>
        <w:pStyle w:val="NoSpacing"/>
        <w:ind w:left="2010" w:hanging="2010"/>
        <w:contextualSpacing/>
        <w:jc w:val="both"/>
        <w:rPr>
          <w:rFonts w:ascii="Arial" w:hAnsi="Arial" w:cs="Arial"/>
          <w:b/>
          <w:sz w:val="24"/>
          <w:szCs w:val="24"/>
        </w:rPr>
      </w:pPr>
      <w:r w:rsidRPr="00E913CF">
        <w:rPr>
          <w:rFonts w:ascii="Arial" w:hAnsi="Arial" w:cs="Arial"/>
          <w:b/>
          <w:sz w:val="24"/>
          <w:szCs w:val="24"/>
        </w:rPr>
        <w:t>Title:</w:t>
      </w:r>
      <w:bookmarkStart w:id="0" w:name="Title"/>
      <w:bookmarkEnd w:id="0"/>
      <w:r w:rsidRPr="00E913CF">
        <w:rPr>
          <w:rFonts w:ascii="Arial" w:hAnsi="Arial" w:cs="Arial"/>
          <w:b/>
          <w:sz w:val="24"/>
          <w:szCs w:val="24"/>
        </w:rPr>
        <w:tab/>
      </w:r>
      <w:r w:rsidR="00D027D1" w:rsidRPr="00D027D1">
        <w:rPr>
          <w:rFonts w:ascii="Arial" w:hAnsi="Arial" w:cs="Arial"/>
          <w:b/>
          <w:sz w:val="24"/>
          <w:szCs w:val="24"/>
          <w:lang w:val="en-GB"/>
        </w:rPr>
        <w:t>Input to UE RF requirements for NTN L-bands n253, n521, n250</w:t>
      </w:r>
    </w:p>
    <w:p w14:paraId="64CAA37D" w14:textId="09206914" w:rsidR="000611C6" w:rsidRPr="007B491C" w:rsidRDefault="000611C6" w:rsidP="000611C6">
      <w:pPr>
        <w:pStyle w:val="NoSpacing"/>
        <w:ind w:left="2010" w:hanging="2010"/>
        <w:contextualSpacing/>
        <w:jc w:val="both"/>
        <w:rPr>
          <w:rFonts w:ascii="Arial" w:hAnsi="Arial" w:cs="Arial"/>
          <w:b/>
          <w:sz w:val="24"/>
          <w:szCs w:val="24"/>
        </w:rPr>
      </w:pPr>
      <w:r w:rsidRPr="00E913CF">
        <w:rPr>
          <w:rFonts w:ascii="Arial" w:hAnsi="Arial" w:cs="Arial"/>
          <w:b/>
          <w:sz w:val="24"/>
          <w:szCs w:val="24"/>
        </w:rPr>
        <w:t>Document for:</w:t>
      </w:r>
      <w:r w:rsidRPr="00E913CF">
        <w:rPr>
          <w:rFonts w:ascii="Arial" w:hAnsi="Arial" w:cs="Arial"/>
          <w:b/>
          <w:sz w:val="24"/>
          <w:szCs w:val="24"/>
        </w:rPr>
        <w:tab/>
      </w:r>
      <w:bookmarkStart w:id="1" w:name="DocumentFor"/>
      <w:bookmarkEnd w:id="1"/>
      <w:r>
        <w:rPr>
          <w:rFonts w:ascii="Arial" w:hAnsi="Arial" w:cs="Arial"/>
          <w:b/>
          <w:sz w:val="24"/>
          <w:szCs w:val="24"/>
        </w:rPr>
        <w:t>Discussion</w:t>
      </w:r>
      <w:r w:rsidR="00647BAC">
        <w:rPr>
          <w:rFonts w:ascii="Arial" w:hAnsi="Arial" w:cs="Arial"/>
          <w:b/>
          <w:sz w:val="24"/>
          <w:szCs w:val="24"/>
        </w:rPr>
        <w:t xml:space="preserve"> and Decision</w:t>
      </w:r>
    </w:p>
    <w:p w14:paraId="4CEEEC51" w14:textId="77777777" w:rsidR="000611C6" w:rsidRDefault="000611C6" w:rsidP="000611C6"/>
    <w:p w14:paraId="04ECCD93" w14:textId="77777777" w:rsidR="000611C6" w:rsidRPr="00626FD8" w:rsidRDefault="000611C6" w:rsidP="003A2DA6">
      <w:pPr>
        <w:pStyle w:val="Heading1"/>
      </w:pPr>
      <w:r w:rsidRPr="00626FD8">
        <w:t>Background</w:t>
      </w:r>
    </w:p>
    <w:p w14:paraId="42BF4FA2" w14:textId="18CD93E4" w:rsidR="000611C6" w:rsidRPr="00F61AF1" w:rsidRDefault="00F61AF1" w:rsidP="00F61AF1">
      <w:r>
        <w:t>The intent of this paper is to provide</w:t>
      </w:r>
      <w:r w:rsidR="001B01A4">
        <w:t xml:space="preserve"> additional</w:t>
      </w:r>
      <w:r w:rsidR="00F71F80">
        <w:t xml:space="preserve"> </w:t>
      </w:r>
      <w:r w:rsidR="00BA592C">
        <w:t>re</w:t>
      </w:r>
      <w:r w:rsidR="005179BA">
        <w:t xml:space="preserve">gulatory information pertaining to the new </w:t>
      </w:r>
      <w:r w:rsidR="00833CD1">
        <w:t xml:space="preserve">proposed </w:t>
      </w:r>
      <w:r w:rsidR="00247111">
        <w:t xml:space="preserve">bands </w:t>
      </w:r>
      <w:r w:rsidR="005A0E9E">
        <w:t>n253, n</w:t>
      </w:r>
      <w:r w:rsidR="00F65B0B">
        <w:t>25</w:t>
      </w:r>
      <w:r w:rsidR="001B01A4">
        <w:t>1</w:t>
      </w:r>
      <w:r w:rsidR="00F65B0B">
        <w:t xml:space="preserve"> and </w:t>
      </w:r>
      <w:r w:rsidR="005A0E9E">
        <w:t>n</w:t>
      </w:r>
      <w:r w:rsidR="00F65B0B">
        <w:t>25</w:t>
      </w:r>
      <w:r w:rsidR="001B01A4">
        <w:t>0.</w:t>
      </w:r>
    </w:p>
    <w:p w14:paraId="405EE0E1" w14:textId="37E21F61" w:rsidR="000611C6" w:rsidRPr="00626FD8" w:rsidRDefault="00C12A23" w:rsidP="00321C1E">
      <w:pPr>
        <w:pStyle w:val="Heading1"/>
      </w:pPr>
      <w:r w:rsidRPr="00626FD8">
        <w:t xml:space="preserve">Regulatory </w:t>
      </w:r>
      <w:r w:rsidR="00E36340" w:rsidRPr="00626FD8">
        <w:t>Information</w:t>
      </w:r>
    </w:p>
    <w:p w14:paraId="3AF9D9B8" w14:textId="5492FAF2" w:rsidR="001666BD" w:rsidRDefault="001666BD" w:rsidP="001666BD">
      <w:r w:rsidRPr="001666BD">
        <w:t>Th</w:t>
      </w:r>
      <w:r w:rsidR="007F7674">
        <w:t xml:space="preserve">is section describes the regulatory information associated with </w:t>
      </w:r>
      <w:r w:rsidR="00A17E82">
        <w:t xml:space="preserve">bands </w:t>
      </w:r>
      <w:r w:rsidR="00821C2A">
        <w:t>n253, n</w:t>
      </w:r>
      <w:r w:rsidR="00A17E82">
        <w:t xml:space="preserve">251 and </w:t>
      </w:r>
      <w:r w:rsidR="00821C2A">
        <w:t>n</w:t>
      </w:r>
      <w:r w:rsidR="00A17E82">
        <w:t>250</w:t>
      </w:r>
      <w:r w:rsidR="002213A3">
        <w:t xml:space="preserve">. </w:t>
      </w:r>
      <w:r w:rsidR="00A17E82">
        <w:t>The bands are defined as follows:</w:t>
      </w:r>
    </w:p>
    <w:p w14:paraId="691A4C78" w14:textId="3C2C7425" w:rsidR="00734C54" w:rsidRDefault="00734C54" w:rsidP="00734C54">
      <w:pPr>
        <w:pStyle w:val="Caption"/>
        <w:keepNext/>
        <w:jc w:val="center"/>
      </w:pPr>
      <w:r>
        <w:t xml:space="preserve">Table </w:t>
      </w:r>
      <w:r>
        <w:fldChar w:fldCharType="begin"/>
      </w:r>
      <w:r>
        <w:instrText xml:space="preserve"> SEQ Table \* ARABIC </w:instrText>
      </w:r>
      <w:r>
        <w:fldChar w:fldCharType="separate"/>
      </w:r>
      <w:r w:rsidR="00004133">
        <w:rPr>
          <w:noProof/>
        </w:rPr>
        <w:t>1</w:t>
      </w:r>
      <w:r>
        <w:rPr>
          <w:noProof/>
        </w:rPr>
        <w:fldChar w:fldCharType="end"/>
      </w:r>
      <w:r>
        <w:t xml:space="preserve"> NR-NTN Proposed Bands</w:t>
      </w:r>
    </w:p>
    <w:tbl>
      <w:tblPr>
        <w:tblStyle w:val="TableGrid"/>
        <w:tblW w:w="0" w:type="auto"/>
        <w:tblLook w:val="04A0" w:firstRow="1" w:lastRow="0" w:firstColumn="1" w:lastColumn="0" w:noHBand="0" w:noVBand="1"/>
      </w:tblPr>
      <w:tblGrid>
        <w:gridCol w:w="1266"/>
        <w:gridCol w:w="3832"/>
        <w:gridCol w:w="3703"/>
        <w:gridCol w:w="828"/>
      </w:tblGrid>
      <w:tr w:rsidR="005E7200" w14:paraId="739E554F" w14:textId="77777777" w:rsidTr="00734C54">
        <w:tc>
          <w:tcPr>
            <w:tcW w:w="1266" w:type="dxa"/>
          </w:tcPr>
          <w:p w14:paraId="06B9B5ED" w14:textId="02521459" w:rsidR="005E7200" w:rsidRPr="00734C54" w:rsidRDefault="005E7200" w:rsidP="005E7200">
            <w:pPr>
              <w:jc w:val="center"/>
              <w:rPr>
                <w:b/>
                <w:bCs/>
              </w:rPr>
            </w:pPr>
            <w:r w:rsidRPr="00734C54">
              <w:rPr>
                <w:b/>
                <w:bCs/>
              </w:rPr>
              <w:t>NTN satellite</w:t>
            </w:r>
            <w:r w:rsidRPr="00734C54">
              <w:rPr>
                <w:b/>
                <w:bCs/>
                <w:lang w:val="en-US"/>
              </w:rPr>
              <w:t xml:space="preserve"> operating </w:t>
            </w:r>
            <w:r w:rsidRPr="00734C54">
              <w:rPr>
                <w:b/>
                <w:bCs/>
              </w:rPr>
              <w:t>band</w:t>
            </w:r>
          </w:p>
        </w:tc>
        <w:tc>
          <w:tcPr>
            <w:tcW w:w="3832" w:type="dxa"/>
          </w:tcPr>
          <w:p w14:paraId="21E35527" w14:textId="77777777" w:rsidR="005E7200" w:rsidRPr="00734C54" w:rsidRDefault="005E7200" w:rsidP="005E7200">
            <w:pPr>
              <w:pStyle w:val="TAH"/>
              <w:rPr>
                <w:bCs/>
                <w:lang w:val="en-US"/>
              </w:rPr>
            </w:pPr>
            <w:r w:rsidRPr="00734C54">
              <w:rPr>
                <w:bCs/>
                <w:lang w:val="en-US"/>
              </w:rPr>
              <w:t>Uplink (UL) operating band</w:t>
            </w:r>
            <w:r w:rsidRPr="00734C54">
              <w:rPr>
                <w:bCs/>
                <w:lang w:val="en-US"/>
              </w:rPr>
              <w:br/>
              <w:t>Satellite Access Node receive / UE transmit</w:t>
            </w:r>
          </w:p>
          <w:p w14:paraId="1D84E95E" w14:textId="29468334" w:rsidR="005E7200" w:rsidRPr="00734C54" w:rsidRDefault="005E7200" w:rsidP="005E7200">
            <w:pPr>
              <w:jc w:val="center"/>
              <w:rPr>
                <w:b/>
                <w:bCs/>
              </w:rPr>
            </w:pPr>
            <w:proofErr w:type="spellStart"/>
            <w:proofErr w:type="gramStart"/>
            <w:r w:rsidRPr="00734C54">
              <w:rPr>
                <w:b/>
                <w:bCs/>
              </w:rPr>
              <w:t>F</w:t>
            </w:r>
            <w:r w:rsidRPr="00734C54">
              <w:rPr>
                <w:b/>
                <w:bCs/>
                <w:vertAlign w:val="subscript"/>
              </w:rPr>
              <w:t>UL,low</w:t>
            </w:r>
            <w:proofErr w:type="spellEnd"/>
            <w:proofErr w:type="gramEnd"/>
            <w:r w:rsidRPr="00734C54">
              <w:rPr>
                <w:b/>
                <w:bCs/>
              </w:rPr>
              <w:t xml:space="preserve">   –  </w:t>
            </w:r>
            <w:proofErr w:type="spellStart"/>
            <w:r w:rsidRPr="00734C54">
              <w:rPr>
                <w:b/>
                <w:bCs/>
              </w:rPr>
              <w:t>F</w:t>
            </w:r>
            <w:r w:rsidRPr="00734C54">
              <w:rPr>
                <w:b/>
                <w:bCs/>
                <w:vertAlign w:val="subscript"/>
              </w:rPr>
              <w:t>UL,high</w:t>
            </w:r>
            <w:proofErr w:type="spellEnd"/>
          </w:p>
        </w:tc>
        <w:tc>
          <w:tcPr>
            <w:tcW w:w="3703" w:type="dxa"/>
          </w:tcPr>
          <w:p w14:paraId="112417B1" w14:textId="77777777" w:rsidR="005E7200" w:rsidRPr="00734C54" w:rsidRDefault="005E7200" w:rsidP="005E7200">
            <w:pPr>
              <w:pStyle w:val="TAH"/>
              <w:rPr>
                <w:bCs/>
                <w:lang w:val="en-US"/>
              </w:rPr>
            </w:pPr>
            <w:r w:rsidRPr="00734C54">
              <w:rPr>
                <w:bCs/>
                <w:lang w:val="en-US"/>
              </w:rPr>
              <w:t>Downlink (DL) operating band</w:t>
            </w:r>
            <w:r w:rsidRPr="00734C54">
              <w:rPr>
                <w:bCs/>
                <w:lang w:val="en-US"/>
              </w:rPr>
              <w:br/>
              <w:t>Satellite Access Node transmit / UE receive</w:t>
            </w:r>
          </w:p>
          <w:p w14:paraId="0EF96B55" w14:textId="4FE820E2" w:rsidR="005E7200" w:rsidRPr="00734C54" w:rsidRDefault="005E7200" w:rsidP="005E7200">
            <w:pPr>
              <w:jc w:val="center"/>
              <w:rPr>
                <w:b/>
                <w:bCs/>
              </w:rPr>
            </w:pPr>
            <w:proofErr w:type="spellStart"/>
            <w:proofErr w:type="gramStart"/>
            <w:r w:rsidRPr="00734C54">
              <w:rPr>
                <w:b/>
                <w:bCs/>
              </w:rPr>
              <w:t>F</w:t>
            </w:r>
            <w:r w:rsidRPr="00734C54">
              <w:rPr>
                <w:b/>
                <w:bCs/>
                <w:vertAlign w:val="subscript"/>
              </w:rPr>
              <w:t>DL,low</w:t>
            </w:r>
            <w:proofErr w:type="spellEnd"/>
            <w:proofErr w:type="gramEnd"/>
            <w:r w:rsidRPr="00734C54">
              <w:rPr>
                <w:b/>
                <w:bCs/>
              </w:rPr>
              <w:t xml:space="preserve">   –  </w:t>
            </w:r>
            <w:proofErr w:type="spellStart"/>
            <w:r w:rsidRPr="00734C54">
              <w:rPr>
                <w:b/>
                <w:bCs/>
              </w:rPr>
              <w:t>F</w:t>
            </w:r>
            <w:r w:rsidRPr="00734C54">
              <w:rPr>
                <w:b/>
                <w:bCs/>
                <w:vertAlign w:val="subscript"/>
              </w:rPr>
              <w:t>DL,high</w:t>
            </w:r>
            <w:proofErr w:type="spellEnd"/>
          </w:p>
        </w:tc>
        <w:tc>
          <w:tcPr>
            <w:tcW w:w="828" w:type="dxa"/>
          </w:tcPr>
          <w:p w14:paraId="1197477E" w14:textId="10988C4B" w:rsidR="005E7200" w:rsidRPr="00734C54" w:rsidRDefault="005E7200" w:rsidP="005E7200">
            <w:pPr>
              <w:jc w:val="center"/>
              <w:rPr>
                <w:b/>
                <w:bCs/>
              </w:rPr>
            </w:pPr>
            <w:r w:rsidRPr="00734C54">
              <w:rPr>
                <w:b/>
                <w:bCs/>
              </w:rPr>
              <w:t>Duplex mode</w:t>
            </w:r>
          </w:p>
        </w:tc>
      </w:tr>
      <w:tr w:rsidR="005A0E9E" w14:paraId="28CAB98A" w14:textId="77777777" w:rsidTr="00734C54">
        <w:tc>
          <w:tcPr>
            <w:tcW w:w="1266" w:type="dxa"/>
          </w:tcPr>
          <w:p w14:paraId="20593D28" w14:textId="305B3EAC" w:rsidR="005A0E9E" w:rsidRDefault="0081698A" w:rsidP="00FF24DE">
            <w:pPr>
              <w:jc w:val="center"/>
            </w:pPr>
            <w:r>
              <w:t>n</w:t>
            </w:r>
            <w:r w:rsidR="005A0E9E">
              <w:t>253</w:t>
            </w:r>
          </w:p>
        </w:tc>
        <w:tc>
          <w:tcPr>
            <w:tcW w:w="3832" w:type="dxa"/>
          </w:tcPr>
          <w:p w14:paraId="1A8BDD8F" w14:textId="27CD42D5" w:rsidR="005A0E9E" w:rsidRPr="00734C54" w:rsidRDefault="0081698A" w:rsidP="00FF24DE">
            <w:pPr>
              <w:jc w:val="center"/>
            </w:pPr>
            <w:r w:rsidRPr="00734C54">
              <w:t>1668MHz – 1675MHz</w:t>
            </w:r>
          </w:p>
        </w:tc>
        <w:tc>
          <w:tcPr>
            <w:tcW w:w="3703" w:type="dxa"/>
          </w:tcPr>
          <w:p w14:paraId="02BF6901" w14:textId="41F8AB5F" w:rsidR="005A0E9E" w:rsidRPr="00734C54" w:rsidRDefault="0081698A" w:rsidP="00FF24DE">
            <w:pPr>
              <w:jc w:val="center"/>
            </w:pPr>
            <w:r w:rsidRPr="00734C54">
              <w:t>1518MHz – 15</w:t>
            </w:r>
            <w:r>
              <w:t>25</w:t>
            </w:r>
            <w:r w:rsidRPr="00734C54">
              <w:t>MHz</w:t>
            </w:r>
          </w:p>
        </w:tc>
        <w:tc>
          <w:tcPr>
            <w:tcW w:w="828" w:type="dxa"/>
          </w:tcPr>
          <w:p w14:paraId="042C0BBB" w14:textId="2A940B52" w:rsidR="005A0E9E" w:rsidRPr="00734C54" w:rsidRDefault="0081698A" w:rsidP="00FF24DE">
            <w:pPr>
              <w:jc w:val="center"/>
            </w:pPr>
            <w:r>
              <w:t>FDD</w:t>
            </w:r>
          </w:p>
        </w:tc>
      </w:tr>
      <w:tr w:rsidR="00FF24DE" w14:paraId="16D7E7EB" w14:textId="77777777" w:rsidTr="00734C54">
        <w:tc>
          <w:tcPr>
            <w:tcW w:w="1266" w:type="dxa"/>
          </w:tcPr>
          <w:p w14:paraId="1C3B9BCE" w14:textId="66CA2F01" w:rsidR="00FF24DE" w:rsidRDefault="00FF24DE" w:rsidP="00FF24DE">
            <w:pPr>
              <w:jc w:val="center"/>
            </w:pPr>
            <w:r>
              <w:t>n251</w:t>
            </w:r>
          </w:p>
        </w:tc>
        <w:tc>
          <w:tcPr>
            <w:tcW w:w="3832" w:type="dxa"/>
          </w:tcPr>
          <w:p w14:paraId="35D4FB17" w14:textId="417AADD8" w:rsidR="00FF24DE" w:rsidRPr="00734C54" w:rsidRDefault="00FF24DE" w:rsidP="00FF24DE">
            <w:pPr>
              <w:jc w:val="center"/>
            </w:pPr>
            <w:r w:rsidRPr="00734C54">
              <w:t>1626.5MHz – 1660.5MHz</w:t>
            </w:r>
          </w:p>
        </w:tc>
        <w:tc>
          <w:tcPr>
            <w:tcW w:w="3703" w:type="dxa"/>
          </w:tcPr>
          <w:p w14:paraId="46B15F3F" w14:textId="1A6C08EB" w:rsidR="00FF24DE" w:rsidRPr="00734C54" w:rsidRDefault="00FF24DE" w:rsidP="00FF24DE">
            <w:pPr>
              <w:jc w:val="center"/>
            </w:pPr>
            <w:r w:rsidRPr="00734C54">
              <w:t>1518MHz – 1559MHz</w:t>
            </w:r>
          </w:p>
        </w:tc>
        <w:tc>
          <w:tcPr>
            <w:tcW w:w="828" w:type="dxa"/>
          </w:tcPr>
          <w:p w14:paraId="1D9FCF14" w14:textId="3D9EE3DB" w:rsidR="00FF24DE" w:rsidRPr="00734C54" w:rsidRDefault="00FF24DE" w:rsidP="00FF24DE">
            <w:pPr>
              <w:jc w:val="center"/>
            </w:pPr>
            <w:r w:rsidRPr="00734C54">
              <w:t>FDD</w:t>
            </w:r>
          </w:p>
        </w:tc>
      </w:tr>
      <w:tr w:rsidR="00734C54" w14:paraId="053995FA" w14:textId="77777777" w:rsidTr="00734C54">
        <w:tc>
          <w:tcPr>
            <w:tcW w:w="1266" w:type="dxa"/>
          </w:tcPr>
          <w:p w14:paraId="73E8D7F1" w14:textId="6CC8A3CD" w:rsidR="00734C54" w:rsidRDefault="00734C54" w:rsidP="00734C54">
            <w:pPr>
              <w:jc w:val="center"/>
            </w:pPr>
            <w:r>
              <w:t>n250</w:t>
            </w:r>
          </w:p>
        </w:tc>
        <w:tc>
          <w:tcPr>
            <w:tcW w:w="3832" w:type="dxa"/>
          </w:tcPr>
          <w:p w14:paraId="46B133E2" w14:textId="3DBB53E7" w:rsidR="00734C54" w:rsidRPr="00734C54" w:rsidRDefault="00734C54" w:rsidP="00734C54">
            <w:pPr>
              <w:jc w:val="center"/>
            </w:pPr>
            <w:r w:rsidRPr="00734C54">
              <w:t>1668MHz – 1675MHz</w:t>
            </w:r>
          </w:p>
        </w:tc>
        <w:tc>
          <w:tcPr>
            <w:tcW w:w="3703" w:type="dxa"/>
          </w:tcPr>
          <w:p w14:paraId="17203E58" w14:textId="568EA31A" w:rsidR="00734C54" w:rsidRPr="00734C54" w:rsidRDefault="00734C54" w:rsidP="00734C54">
            <w:pPr>
              <w:jc w:val="center"/>
            </w:pPr>
            <w:r w:rsidRPr="00734C54">
              <w:t>1518MHz – 1559MHz</w:t>
            </w:r>
          </w:p>
        </w:tc>
        <w:tc>
          <w:tcPr>
            <w:tcW w:w="828" w:type="dxa"/>
          </w:tcPr>
          <w:p w14:paraId="4B047642" w14:textId="391402A6" w:rsidR="00734C54" w:rsidRPr="00734C54" w:rsidRDefault="00734C54" w:rsidP="00734C54">
            <w:pPr>
              <w:jc w:val="center"/>
            </w:pPr>
            <w:r w:rsidRPr="00734C54">
              <w:t>FDD</w:t>
            </w:r>
          </w:p>
        </w:tc>
      </w:tr>
    </w:tbl>
    <w:p w14:paraId="4B94EAE9" w14:textId="6CA7F901" w:rsidR="00D75DB7" w:rsidRDefault="00D75DB7" w:rsidP="001666BD"/>
    <w:p w14:paraId="62F2DA43" w14:textId="250CC2A7" w:rsidR="00B47828" w:rsidRDefault="006A5134" w:rsidP="001666BD">
      <w:r>
        <w:t xml:space="preserve">One important aspect to note is that </w:t>
      </w:r>
      <w:proofErr w:type="gramStart"/>
      <w:r>
        <w:t>the majority of</w:t>
      </w:r>
      <w:proofErr w:type="gramEnd"/>
      <w:r>
        <w:t xml:space="preserve"> the existing regulatory requirements for emissions for </w:t>
      </w:r>
      <w:r w:rsidR="007B6819">
        <w:t xml:space="preserve">MSS bands, including in the L-band range, </w:t>
      </w:r>
      <w:r w:rsidR="00415351">
        <w:t>with the main ex</w:t>
      </w:r>
      <w:r w:rsidR="007C78B3">
        <w:t>ception being FCC Part 25, are</w:t>
      </w:r>
      <w:r w:rsidR="007B6819">
        <w:t xml:space="preserve"> </w:t>
      </w:r>
      <w:r w:rsidR="00144A4F">
        <w:t xml:space="preserve">specified as “radiated” requirements, in the form of EIRP limits.  </w:t>
      </w:r>
      <w:r w:rsidR="00B47828">
        <w:t xml:space="preserve">We think that </w:t>
      </w:r>
      <w:r w:rsidR="00825251">
        <w:t xml:space="preserve">there is a need to define a general methodology for </w:t>
      </w:r>
      <w:r w:rsidR="007C78B3">
        <w:t xml:space="preserve">application of such </w:t>
      </w:r>
      <w:r w:rsidR="00825251">
        <w:t>radiated regulatory requirements to</w:t>
      </w:r>
      <w:r w:rsidR="007C78B3">
        <w:t xml:space="preserve"> FR1 NTN specifications</w:t>
      </w:r>
      <w:r w:rsidR="00825251">
        <w:t xml:space="preserve">, in a way that does not create unnecessary burdens on the </w:t>
      </w:r>
      <w:proofErr w:type="gramStart"/>
      <w:r w:rsidR="00825251">
        <w:t>implementation, but</w:t>
      </w:r>
      <w:proofErr w:type="gramEnd"/>
      <w:r w:rsidR="00825251">
        <w:t xml:space="preserve"> ensures compliance to regulation in all of the operational scenarios.</w:t>
      </w:r>
      <w:r w:rsidR="00BA771E">
        <w:t xml:space="preserve"> </w:t>
      </w:r>
    </w:p>
    <w:p w14:paraId="59ED8FD4" w14:textId="7E1D6752" w:rsidR="006A67D1" w:rsidRDefault="002C4AC2" w:rsidP="001666BD">
      <w:r>
        <w:t xml:space="preserve">Given that 3GPP is already in the process of defining radiated requirements, a possible approach would be the introduction of such requirements in the 3GPP TS 38.101-5 (and corresponding LTE 36.102) specs under a new section for </w:t>
      </w:r>
      <w:r w:rsidR="00952344">
        <w:t>OTA radiated requirements.</w:t>
      </w:r>
      <w:r w:rsidR="006A67D1">
        <w:t xml:space="preserve">  Whether </w:t>
      </w:r>
      <w:bookmarkStart w:id="2" w:name="_Hlk179713945"/>
      <w:r w:rsidR="006A67D1">
        <w:t xml:space="preserve">there is a need for conversion of </w:t>
      </w:r>
      <w:r w:rsidR="00050792">
        <w:t>regulatory emission limits from radiated to conducted requirements should also be further discussed</w:t>
      </w:r>
      <w:bookmarkEnd w:id="2"/>
      <w:r w:rsidR="00050792">
        <w:t>.</w:t>
      </w:r>
    </w:p>
    <w:p w14:paraId="70E91899" w14:textId="1804F389" w:rsidR="00D75DB7" w:rsidRPr="00141397" w:rsidRDefault="00970A0A" w:rsidP="00B855DB">
      <w:pPr>
        <w:keepNext/>
        <w:rPr>
          <w:b/>
          <w:i/>
        </w:rPr>
      </w:pPr>
      <w:bookmarkStart w:id="3" w:name="_Toc179739371"/>
      <w:r w:rsidRPr="00141397">
        <w:rPr>
          <w:b/>
          <w:i/>
        </w:rPr>
        <w:t xml:space="preserve">Observation </w:t>
      </w:r>
      <w:r w:rsidRPr="00141397">
        <w:rPr>
          <w:b/>
          <w:i/>
        </w:rPr>
        <w:fldChar w:fldCharType="begin"/>
      </w:r>
      <w:r w:rsidRPr="00141397">
        <w:rPr>
          <w:b/>
          <w:i/>
        </w:rPr>
        <w:instrText xml:space="preserve"> SEQ Observation \* ARABIC </w:instrText>
      </w:r>
      <w:r w:rsidRPr="00141397">
        <w:rPr>
          <w:b/>
          <w:i/>
        </w:rPr>
        <w:fldChar w:fldCharType="separate"/>
      </w:r>
      <w:r w:rsidRPr="00141397">
        <w:rPr>
          <w:b/>
          <w:i/>
        </w:rPr>
        <w:t>1</w:t>
      </w:r>
      <w:r w:rsidRPr="00141397">
        <w:rPr>
          <w:b/>
          <w:i/>
        </w:rPr>
        <w:fldChar w:fldCharType="end"/>
      </w:r>
      <w:r w:rsidRPr="00141397">
        <w:rPr>
          <w:b/>
          <w:i/>
        </w:rPr>
        <w:t>:</w:t>
      </w:r>
      <w:r w:rsidRPr="00141397">
        <w:rPr>
          <w:i/>
        </w:rPr>
        <w:t xml:space="preserve"> </w:t>
      </w:r>
      <w:proofErr w:type="gramStart"/>
      <w:r w:rsidRPr="00141397">
        <w:rPr>
          <w:b/>
          <w:i/>
        </w:rPr>
        <w:t>The majority of</w:t>
      </w:r>
      <w:proofErr w:type="gramEnd"/>
      <w:r w:rsidRPr="00141397">
        <w:rPr>
          <w:b/>
          <w:i/>
        </w:rPr>
        <w:t xml:space="preserve"> the existing regulatory requirements for emission limits in MSS bands, with main exception in the FCC Part 25, are specified as radiated requirements in the form of EIRP limits.</w:t>
      </w:r>
      <w:bookmarkEnd w:id="3"/>
    </w:p>
    <w:p w14:paraId="6502965D" w14:textId="65D5A0D3" w:rsidR="00253DCD" w:rsidRPr="00141397" w:rsidRDefault="006C1FEA" w:rsidP="00B24D2B">
      <w:pPr>
        <w:pStyle w:val="Caption"/>
        <w:rPr>
          <w:b w:val="0"/>
          <w:i/>
        </w:rPr>
      </w:pPr>
      <w:bookmarkStart w:id="4" w:name="_Toc179739609"/>
      <w:r w:rsidRPr="00141397">
        <w:rPr>
          <w:i/>
        </w:rPr>
        <w:t xml:space="preserve">Proposal </w:t>
      </w:r>
      <w:r w:rsidR="00B24D2B" w:rsidRPr="00141397">
        <w:rPr>
          <w:i/>
        </w:rPr>
        <w:fldChar w:fldCharType="begin"/>
      </w:r>
      <w:r w:rsidR="00B24D2B" w:rsidRPr="00141397">
        <w:rPr>
          <w:i/>
        </w:rPr>
        <w:instrText xml:space="preserve"> SEQ Proposal \* ARABIC </w:instrText>
      </w:r>
      <w:r w:rsidR="00B24D2B" w:rsidRPr="00141397">
        <w:rPr>
          <w:i/>
        </w:rPr>
        <w:fldChar w:fldCharType="separate"/>
      </w:r>
      <w:r w:rsidR="00B24D2B">
        <w:rPr>
          <w:i/>
        </w:rPr>
        <w:t>1</w:t>
      </w:r>
      <w:r w:rsidR="00B24D2B" w:rsidRPr="00141397">
        <w:rPr>
          <w:i/>
        </w:rPr>
        <w:fldChar w:fldCharType="end"/>
      </w:r>
      <w:r w:rsidR="00B24D2B" w:rsidRPr="00141397">
        <w:rPr>
          <w:i/>
        </w:rPr>
        <w:t>:</w:t>
      </w:r>
      <w:r w:rsidRPr="00141397">
        <w:rPr>
          <w:i/>
        </w:rPr>
        <w:t xml:space="preserve"> </w:t>
      </w:r>
      <w:r w:rsidR="000F388A" w:rsidRPr="00141397">
        <w:rPr>
          <w:i/>
        </w:rPr>
        <w:t xml:space="preserve">3GPP should </w:t>
      </w:r>
      <w:r w:rsidR="00F27C33" w:rsidRPr="00141397">
        <w:rPr>
          <w:i/>
        </w:rPr>
        <w:t>identify the appropriate methodology to capture radiated regulatory requirements in the specification</w:t>
      </w:r>
      <w:r w:rsidR="000C34E3" w:rsidRPr="00141397">
        <w:rPr>
          <w:i/>
        </w:rPr>
        <w:t>(s)</w:t>
      </w:r>
      <w:r w:rsidR="00F27C33" w:rsidRPr="00141397">
        <w:rPr>
          <w:i/>
        </w:rPr>
        <w:t xml:space="preserve">, in such a way that ensures compliance to regulations in all operational </w:t>
      </w:r>
      <w:proofErr w:type="gramStart"/>
      <w:r w:rsidR="00F27C33" w:rsidRPr="00141397">
        <w:rPr>
          <w:i/>
        </w:rPr>
        <w:t>scenarios, but</w:t>
      </w:r>
      <w:proofErr w:type="gramEnd"/>
      <w:r w:rsidR="00F27C33" w:rsidRPr="00141397">
        <w:rPr>
          <w:i/>
        </w:rPr>
        <w:t xml:space="preserve"> does not create unnecessary implementation burden.</w:t>
      </w:r>
      <w:bookmarkEnd w:id="4"/>
    </w:p>
    <w:p w14:paraId="6EA00D44" w14:textId="1E2CD982" w:rsidR="000C34E3" w:rsidRPr="00141397" w:rsidRDefault="0064767A" w:rsidP="004879FC">
      <w:pPr>
        <w:pStyle w:val="Caption"/>
        <w:rPr>
          <w:b w:val="0"/>
          <w:i/>
        </w:rPr>
      </w:pPr>
      <w:bookmarkStart w:id="5" w:name="_Toc179739610"/>
      <w:r w:rsidRPr="00141397">
        <w:rPr>
          <w:i/>
        </w:rPr>
        <w:t xml:space="preserve">Proposal </w:t>
      </w:r>
      <w:r w:rsidR="004879FC" w:rsidRPr="00141397">
        <w:rPr>
          <w:i/>
        </w:rPr>
        <w:fldChar w:fldCharType="begin"/>
      </w:r>
      <w:r w:rsidR="004879FC" w:rsidRPr="00141397">
        <w:rPr>
          <w:i/>
        </w:rPr>
        <w:instrText xml:space="preserve"> SEQ Proposal \* ARABIC </w:instrText>
      </w:r>
      <w:r w:rsidR="004879FC" w:rsidRPr="00141397">
        <w:rPr>
          <w:i/>
        </w:rPr>
        <w:fldChar w:fldCharType="separate"/>
      </w:r>
      <w:r w:rsidR="004879FC">
        <w:rPr>
          <w:i/>
        </w:rPr>
        <w:t>2</w:t>
      </w:r>
      <w:r w:rsidR="004879FC" w:rsidRPr="00141397">
        <w:rPr>
          <w:i/>
        </w:rPr>
        <w:fldChar w:fldCharType="end"/>
      </w:r>
      <w:r w:rsidR="004879FC" w:rsidRPr="00141397">
        <w:rPr>
          <w:i/>
        </w:rPr>
        <w:t>:</w:t>
      </w:r>
      <w:r w:rsidR="00080964" w:rsidRPr="00141397">
        <w:rPr>
          <w:i/>
        </w:rPr>
        <w:t xml:space="preserve"> 3GPP </w:t>
      </w:r>
      <w:r w:rsidR="00490BFE" w:rsidRPr="00141397">
        <w:rPr>
          <w:i/>
        </w:rPr>
        <w:t>is already</w:t>
      </w:r>
      <w:r w:rsidR="001B795F" w:rsidRPr="00141397">
        <w:rPr>
          <w:i/>
        </w:rPr>
        <w:t xml:space="preserve"> in the process of defining FR1 OTA radiated requirements for UE</w:t>
      </w:r>
      <w:r w:rsidR="00CA6832" w:rsidRPr="00141397">
        <w:rPr>
          <w:i/>
        </w:rPr>
        <w:t>.  A possible approach could be the introduction of these requirements under new sections on OTA radiated requirements in</w:t>
      </w:r>
      <w:r w:rsidRPr="00141397">
        <w:rPr>
          <w:i/>
        </w:rPr>
        <w:t xml:space="preserve"> the corresponding UE RF specs.</w:t>
      </w:r>
      <w:bookmarkEnd w:id="5"/>
      <w:r w:rsidR="00CA6832" w:rsidRPr="00141397">
        <w:rPr>
          <w:b w:val="0"/>
          <w:i/>
        </w:rPr>
        <w:t xml:space="preserve"> </w:t>
      </w:r>
    </w:p>
    <w:p w14:paraId="1443D96D" w14:textId="4276FD09" w:rsidR="009C7F03" w:rsidRPr="00141397" w:rsidRDefault="003A5EA3" w:rsidP="004879FC">
      <w:pPr>
        <w:pStyle w:val="Caption"/>
        <w:rPr>
          <w:i/>
        </w:rPr>
      </w:pPr>
      <w:bookmarkStart w:id="6" w:name="_Toc179739611"/>
      <w:r w:rsidRPr="00141397">
        <w:rPr>
          <w:i/>
        </w:rPr>
        <w:lastRenderedPageBreak/>
        <w:t xml:space="preserve">Proposal </w:t>
      </w:r>
      <w:r w:rsidR="004879FC" w:rsidRPr="00141397">
        <w:rPr>
          <w:i/>
        </w:rPr>
        <w:fldChar w:fldCharType="begin"/>
      </w:r>
      <w:r w:rsidR="004879FC" w:rsidRPr="00141397">
        <w:rPr>
          <w:i/>
        </w:rPr>
        <w:instrText xml:space="preserve"> SEQ Proposal \* ARABIC </w:instrText>
      </w:r>
      <w:r w:rsidR="004879FC" w:rsidRPr="00141397">
        <w:rPr>
          <w:i/>
        </w:rPr>
        <w:fldChar w:fldCharType="separate"/>
      </w:r>
      <w:r w:rsidR="004879FC">
        <w:rPr>
          <w:i/>
        </w:rPr>
        <w:t>3</w:t>
      </w:r>
      <w:r w:rsidR="004879FC" w:rsidRPr="00141397">
        <w:rPr>
          <w:i/>
        </w:rPr>
        <w:fldChar w:fldCharType="end"/>
      </w:r>
      <w:r w:rsidR="004879FC" w:rsidRPr="00141397">
        <w:rPr>
          <w:i/>
        </w:rPr>
        <w:t>:</w:t>
      </w:r>
      <w:r w:rsidRPr="00141397">
        <w:rPr>
          <w:i/>
        </w:rPr>
        <w:t xml:space="preserve"> Whether there is a need for conversion of regulatory emission limits from radiated to conducted requirements should also be further discussed</w:t>
      </w:r>
      <w:bookmarkEnd w:id="6"/>
    </w:p>
    <w:p w14:paraId="237E01E0" w14:textId="36F48DB2" w:rsidR="00193B49" w:rsidRDefault="00193B49" w:rsidP="00321C1E">
      <w:pPr>
        <w:pStyle w:val="Heading2"/>
      </w:pPr>
      <w:r>
        <w:t>Protection of Radioastronomy Bands</w:t>
      </w:r>
    </w:p>
    <w:p w14:paraId="6D8A969B" w14:textId="50F0124B" w:rsidR="00193B49" w:rsidRDefault="00193B49" w:rsidP="00193B49">
      <w:r w:rsidRPr="00193B49">
        <w:t xml:space="preserve">A </w:t>
      </w:r>
      <w:r w:rsidR="00821C2A">
        <w:t>specific aspect of</w:t>
      </w:r>
      <w:r>
        <w:t xml:space="preserve"> </w:t>
      </w:r>
      <w:r w:rsidR="00EE4D72">
        <w:t>L-band</w:t>
      </w:r>
      <w:r w:rsidR="00821C2A">
        <w:t>s</w:t>
      </w:r>
      <w:r w:rsidR="00EE4D72">
        <w:t xml:space="preserve"> is the </w:t>
      </w:r>
      <w:proofErr w:type="gramStart"/>
      <w:r w:rsidR="008B04E5">
        <w:t>close proximity</w:t>
      </w:r>
      <w:proofErr w:type="gramEnd"/>
      <w:r w:rsidR="008B04E5">
        <w:t xml:space="preserve"> to spectrum allocated for radioastronomy purposes. The two radioastronomy bands of</w:t>
      </w:r>
      <w:r w:rsidR="00046878">
        <w:t xml:space="preserve"> interest directly overlap with L-band and extended L-band respectively:</w:t>
      </w:r>
    </w:p>
    <w:p w14:paraId="390EE091" w14:textId="5C0F9DB2" w:rsidR="00046878" w:rsidRDefault="00046878" w:rsidP="00046878">
      <w:pPr>
        <w:pStyle w:val="ListParagraph"/>
        <w:numPr>
          <w:ilvl w:val="0"/>
          <w:numId w:val="4"/>
        </w:numPr>
      </w:pPr>
      <w:r>
        <w:t>1660-1660.5</w:t>
      </w:r>
      <w:r w:rsidR="009053DB">
        <w:t xml:space="preserve"> </w:t>
      </w:r>
      <w:r>
        <w:t>MHz</w:t>
      </w:r>
    </w:p>
    <w:p w14:paraId="4226F7AC" w14:textId="4E92428B" w:rsidR="00046878" w:rsidRDefault="00046878" w:rsidP="00046878">
      <w:pPr>
        <w:pStyle w:val="ListParagraph"/>
        <w:numPr>
          <w:ilvl w:val="0"/>
          <w:numId w:val="4"/>
        </w:numPr>
      </w:pPr>
      <w:r>
        <w:t>1668-1670</w:t>
      </w:r>
      <w:r w:rsidR="009053DB">
        <w:t xml:space="preserve"> </w:t>
      </w:r>
      <w:r>
        <w:t>MHz</w:t>
      </w:r>
    </w:p>
    <w:p w14:paraId="59438727" w14:textId="0243AD0C" w:rsidR="000F7C80" w:rsidRPr="00945CAE" w:rsidRDefault="000F7C80" w:rsidP="00B855DB">
      <w:pPr>
        <w:pStyle w:val="Caption"/>
        <w:rPr>
          <w:b w:val="0"/>
          <w:bCs w:val="0"/>
          <w:i/>
          <w:iCs/>
        </w:rPr>
      </w:pPr>
      <w:bookmarkStart w:id="7" w:name="_Toc179739372"/>
      <w:r w:rsidRPr="00141397">
        <w:rPr>
          <w:i/>
        </w:rPr>
        <w:t xml:space="preserve">Observation </w:t>
      </w:r>
      <w:r w:rsidR="00B855DB" w:rsidRPr="00141397">
        <w:rPr>
          <w:i/>
        </w:rPr>
        <w:fldChar w:fldCharType="begin"/>
      </w:r>
      <w:r w:rsidR="00B855DB" w:rsidRPr="00141397">
        <w:rPr>
          <w:i/>
        </w:rPr>
        <w:instrText xml:space="preserve"> SEQ Observation \* ARABIC </w:instrText>
      </w:r>
      <w:r w:rsidR="00B855DB" w:rsidRPr="00141397">
        <w:rPr>
          <w:i/>
        </w:rPr>
        <w:fldChar w:fldCharType="separate"/>
      </w:r>
      <w:r w:rsidR="00B855DB" w:rsidRPr="00141397">
        <w:rPr>
          <w:i/>
        </w:rPr>
        <w:t>2</w:t>
      </w:r>
      <w:r w:rsidR="00B855DB" w:rsidRPr="00141397">
        <w:rPr>
          <w:i/>
        </w:rPr>
        <w:fldChar w:fldCharType="end"/>
      </w:r>
      <w:r w:rsidR="00B855DB" w:rsidRPr="00141397">
        <w:rPr>
          <w:i/>
        </w:rPr>
        <w:t>:</w:t>
      </w:r>
      <w:r w:rsidRPr="00141397">
        <w:rPr>
          <w:i/>
        </w:rPr>
        <w:t xml:space="preserve"> </w:t>
      </w:r>
      <w:r w:rsidR="004074C8" w:rsidRPr="00945CAE">
        <w:rPr>
          <w:i/>
          <w:iCs/>
        </w:rPr>
        <w:t xml:space="preserve">There are two radioastronomy bands </w:t>
      </w:r>
      <w:proofErr w:type="gramStart"/>
      <w:r w:rsidR="004074C8" w:rsidRPr="00945CAE">
        <w:rPr>
          <w:i/>
          <w:iCs/>
        </w:rPr>
        <w:t>in close proximity to</w:t>
      </w:r>
      <w:proofErr w:type="gramEnd"/>
      <w:r w:rsidR="004074C8" w:rsidRPr="00945CAE">
        <w:rPr>
          <w:i/>
          <w:iCs/>
        </w:rPr>
        <w:t xml:space="preserve"> the spectrum licensed for L-band which must be protected.</w:t>
      </w:r>
      <w:bookmarkEnd w:id="7"/>
    </w:p>
    <w:p w14:paraId="59E41818" w14:textId="676A40AB" w:rsidR="004074C8" w:rsidRPr="004074C8" w:rsidRDefault="004074C8" w:rsidP="000F7C80">
      <w:r>
        <w:t>The locations at which these frequencies are utilised are recorded in the ITU master international frequency register</w:t>
      </w:r>
      <w:r w:rsidR="004B7A12">
        <w:t>.</w:t>
      </w:r>
      <w:r w:rsidR="004375D1">
        <w:t xml:space="preserve">  The protection of these bands is stipulated in several documents</w:t>
      </w:r>
      <w:r w:rsidR="00C535BF">
        <w:t>.</w:t>
      </w:r>
    </w:p>
    <w:p w14:paraId="13EF18DB" w14:textId="64A49BC4" w:rsidR="00455037" w:rsidRDefault="00F40BB4" w:rsidP="00321C1E">
      <w:pPr>
        <w:pStyle w:val="Heading3"/>
      </w:pPr>
      <w:r>
        <w:t>ITU-R M.1480</w:t>
      </w:r>
    </w:p>
    <w:p w14:paraId="3BAB6D65" w14:textId="4AB0E2B3" w:rsidR="00455037" w:rsidRDefault="00E24F6E" w:rsidP="00E24F6E">
      <w:r>
        <w:t>ITU-R Recommendation M.1480</w:t>
      </w:r>
      <w:r w:rsidR="009E2BE3">
        <w:t xml:space="preserve"> [1]</w:t>
      </w:r>
      <w:r>
        <w:t xml:space="preserve"> provides </w:t>
      </w:r>
      <w:r w:rsidR="005E4588">
        <w:t xml:space="preserve">a general requirements framework for </w:t>
      </w:r>
      <w:r w:rsidR="00554BA8">
        <w:t xml:space="preserve">global mobile satellite services operation in bands </w:t>
      </w:r>
      <w:r w:rsidR="005931A7">
        <w:t>between 1-3 GHz, including MSS L-bands.</w:t>
      </w:r>
    </w:p>
    <w:p w14:paraId="469B58DB" w14:textId="05773D87" w:rsidR="00B41D85" w:rsidRDefault="005931A7" w:rsidP="00E24F6E">
      <w:r>
        <w:t xml:space="preserve">These requirements include protections out-of-band for the Radio Astronomy frequencies in the 1660.5-1668 </w:t>
      </w:r>
      <w:proofErr w:type="spellStart"/>
      <w:r>
        <w:t>MHz.</w:t>
      </w:r>
      <w:proofErr w:type="spellEnd"/>
    </w:p>
    <w:p w14:paraId="091F5C14" w14:textId="366C9986" w:rsidR="00B41D85" w:rsidRDefault="00B41D85" w:rsidP="00E24F6E">
      <w:r>
        <w:t>The following table</w:t>
      </w:r>
      <w:r w:rsidR="00302C3F">
        <w:t>s (2a</w:t>
      </w:r>
      <w:r w:rsidR="002E7C6F">
        <w:t xml:space="preserve"> and 3a)</w:t>
      </w:r>
      <w:r w:rsidR="00302C3F">
        <w:t xml:space="preserve"> show the protection limits outside the 1660.5 MHz range:</w:t>
      </w:r>
    </w:p>
    <w:p w14:paraId="63959531" w14:textId="77777777" w:rsidR="00302C3F" w:rsidRDefault="00302C3F" w:rsidP="00302C3F">
      <w:pPr>
        <w:pStyle w:val="Table"/>
        <w:rPr>
          <w:lang w:val="es-ES"/>
        </w:rPr>
      </w:pPr>
      <w:r>
        <w:lastRenderedPageBreak/>
        <w:t>TABLE</w:t>
      </w:r>
      <w:r>
        <w:rPr>
          <w:lang w:val="es-ES"/>
        </w:rPr>
        <w:t xml:space="preserve">  2a (</w:t>
      </w:r>
      <w:r>
        <w:rPr>
          <w:i/>
          <w:iCs/>
          <w:lang w:val="es-ES"/>
        </w:rPr>
        <w:t>end</w:t>
      </w:r>
      <w:r>
        <w:rPr>
          <w:lang w:val="es-ES"/>
        </w:rPr>
        <w:t>)</w:t>
      </w:r>
    </w:p>
    <w:tbl>
      <w:tblPr>
        <w:tblW w:w="9688" w:type="dxa"/>
        <w:jc w:val="center"/>
        <w:tblLayout w:type="fixed"/>
        <w:tblCellMar>
          <w:left w:w="28" w:type="dxa"/>
          <w:right w:w="28" w:type="dxa"/>
        </w:tblCellMar>
        <w:tblLook w:val="0000" w:firstRow="0" w:lastRow="0" w:firstColumn="0" w:lastColumn="0" w:noHBand="0" w:noVBand="0"/>
      </w:tblPr>
      <w:tblGrid>
        <w:gridCol w:w="2442"/>
        <w:gridCol w:w="1716"/>
        <w:gridCol w:w="1830"/>
        <w:gridCol w:w="1716"/>
        <w:gridCol w:w="1984"/>
      </w:tblGrid>
      <w:tr w:rsidR="00302C3F" w14:paraId="0664E9CE" w14:textId="77777777" w:rsidTr="00A045F6">
        <w:trPr>
          <w:cantSplit/>
          <w:jc w:val="center"/>
        </w:trPr>
        <w:tc>
          <w:tcPr>
            <w:tcW w:w="2442" w:type="dxa"/>
            <w:vMerge w:val="restart"/>
            <w:tcBorders>
              <w:top w:val="single" w:sz="6" w:space="0" w:color="auto"/>
              <w:left w:val="single" w:sz="6" w:space="0" w:color="auto"/>
              <w:right w:val="single" w:sz="6" w:space="0" w:color="auto"/>
            </w:tcBorders>
          </w:tcPr>
          <w:p w14:paraId="7C897687" w14:textId="77777777" w:rsidR="00302C3F" w:rsidRDefault="00302C3F">
            <w:pPr>
              <w:pStyle w:val="TableText"/>
              <w:framePr w:hSpace="181" w:wrap="notBeside" w:vAnchor="text" w:hAnchor="text" w:xAlign="center" w:y="1"/>
              <w:spacing w:before="0" w:after="0"/>
              <w:jc w:val="center"/>
              <w:rPr>
                <w:lang w:val="es-ES"/>
              </w:rPr>
            </w:pPr>
            <w:r>
              <w:rPr>
                <w:lang w:val="es-ES"/>
              </w:rPr>
              <w:br/>
            </w:r>
            <w:r>
              <w:rPr>
                <w:lang w:val="es-ES"/>
              </w:rPr>
              <w:br/>
            </w:r>
            <w:r>
              <w:t>Frequency range</w:t>
            </w:r>
            <w:r>
              <w:rPr>
                <w:lang w:val="es-ES"/>
              </w:rPr>
              <w:br/>
              <w:t>(MHz)</w:t>
            </w:r>
          </w:p>
        </w:tc>
        <w:tc>
          <w:tcPr>
            <w:tcW w:w="3546" w:type="dxa"/>
            <w:gridSpan w:val="2"/>
            <w:tcBorders>
              <w:top w:val="single" w:sz="6" w:space="0" w:color="auto"/>
              <w:left w:val="single" w:sz="6" w:space="0" w:color="auto"/>
              <w:bottom w:val="single" w:sz="6" w:space="0" w:color="auto"/>
              <w:right w:val="single" w:sz="6" w:space="0" w:color="auto"/>
            </w:tcBorders>
          </w:tcPr>
          <w:p w14:paraId="4095114E" w14:textId="77777777" w:rsidR="00302C3F" w:rsidRDefault="00302C3F">
            <w:pPr>
              <w:pStyle w:val="TableText"/>
              <w:framePr w:hSpace="181" w:wrap="notBeside" w:vAnchor="text" w:hAnchor="text" w:xAlign="center" w:y="1"/>
              <w:jc w:val="center"/>
              <w:rPr>
                <w:lang w:val="es-ES"/>
              </w:rPr>
            </w:pPr>
            <w:r>
              <w:t>Carrier-on</w:t>
            </w:r>
          </w:p>
        </w:tc>
        <w:tc>
          <w:tcPr>
            <w:tcW w:w="3700" w:type="dxa"/>
            <w:gridSpan w:val="2"/>
            <w:tcBorders>
              <w:top w:val="single" w:sz="6" w:space="0" w:color="auto"/>
              <w:left w:val="single" w:sz="6" w:space="0" w:color="auto"/>
              <w:bottom w:val="single" w:sz="6" w:space="0" w:color="auto"/>
              <w:right w:val="single" w:sz="6" w:space="0" w:color="auto"/>
            </w:tcBorders>
          </w:tcPr>
          <w:p w14:paraId="31C5A558" w14:textId="77777777" w:rsidR="00302C3F" w:rsidRDefault="00302C3F">
            <w:pPr>
              <w:pStyle w:val="TableText"/>
              <w:framePr w:hSpace="181" w:wrap="notBeside" w:vAnchor="text" w:hAnchor="text" w:xAlign="center" w:y="1"/>
              <w:jc w:val="center"/>
              <w:rPr>
                <w:lang w:val="es-ES"/>
              </w:rPr>
            </w:pPr>
            <w:r>
              <w:t>Carrier-off</w:t>
            </w:r>
          </w:p>
        </w:tc>
      </w:tr>
      <w:tr w:rsidR="00302C3F" w14:paraId="759C5365" w14:textId="77777777" w:rsidTr="00A045F6">
        <w:trPr>
          <w:cantSplit/>
          <w:jc w:val="center"/>
        </w:trPr>
        <w:tc>
          <w:tcPr>
            <w:tcW w:w="2442" w:type="dxa"/>
            <w:vMerge/>
            <w:tcBorders>
              <w:left w:val="single" w:sz="6" w:space="0" w:color="auto"/>
              <w:bottom w:val="single" w:sz="6" w:space="0" w:color="auto"/>
              <w:right w:val="single" w:sz="6" w:space="0" w:color="auto"/>
            </w:tcBorders>
          </w:tcPr>
          <w:p w14:paraId="686A263A" w14:textId="77777777" w:rsidR="00302C3F" w:rsidRDefault="00302C3F">
            <w:pPr>
              <w:pStyle w:val="TableText"/>
              <w:framePr w:hSpace="181" w:wrap="notBeside" w:vAnchor="text" w:hAnchor="text" w:xAlign="center" w:y="1"/>
              <w:jc w:val="center"/>
              <w:rPr>
                <w:lang w:val="es-ES"/>
              </w:rPr>
            </w:pPr>
          </w:p>
        </w:tc>
        <w:tc>
          <w:tcPr>
            <w:tcW w:w="1716" w:type="dxa"/>
            <w:tcBorders>
              <w:top w:val="single" w:sz="6" w:space="0" w:color="auto"/>
              <w:left w:val="single" w:sz="6" w:space="0" w:color="auto"/>
              <w:bottom w:val="single" w:sz="6" w:space="0" w:color="auto"/>
              <w:right w:val="single" w:sz="6" w:space="0" w:color="auto"/>
            </w:tcBorders>
          </w:tcPr>
          <w:p w14:paraId="4B496738" w14:textId="77777777" w:rsidR="00302C3F" w:rsidRDefault="00302C3F">
            <w:pPr>
              <w:pStyle w:val="TableText"/>
              <w:framePr w:hSpace="181" w:wrap="notBeside" w:vAnchor="text" w:hAnchor="text" w:xAlign="center" w:y="1"/>
              <w:spacing w:line="240" w:lineRule="auto"/>
              <w:jc w:val="center"/>
              <w:rPr>
                <w:lang w:val="es-ES"/>
              </w:rPr>
            </w:pPr>
            <w:proofErr w:type="spellStart"/>
            <w:r>
              <w:t>e.i.r.p</w:t>
            </w:r>
            <w:proofErr w:type="spellEnd"/>
            <w:r>
              <w:t>. limit</w:t>
            </w:r>
            <w:r>
              <w:rPr>
                <w:lang w:val="es-ES"/>
              </w:rPr>
              <w:t xml:space="preserve"> </w:t>
            </w:r>
            <w:r>
              <w:rPr>
                <w:lang w:val="es-ES"/>
              </w:rPr>
              <w:br/>
              <w:t>(dBW)</w:t>
            </w:r>
          </w:p>
        </w:tc>
        <w:tc>
          <w:tcPr>
            <w:tcW w:w="1830" w:type="dxa"/>
            <w:tcBorders>
              <w:top w:val="single" w:sz="6" w:space="0" w:color="auto"/>
              <w:left w:val="single" w:sz="6" w:space="0" w:color="auto"/>
              <w:bottom w:val="single" w:sz="6" w:space="0" w:color="auto"/>
              <w:right w:val="single" w:sz="6" w:space="0" w:color="auto"/>
            </w:tcBorders>
          </w:tcPr>
          <w:p w14:paraId="5A09BB9D" w14:textId="77777777" w:rsidR="00302C3F" w:rsidRDefault="00302C3F">
            <w:pPr>
              <w:pStyle w:val="TableText"/>
              <w:framePr w:hSpace="181" w:wrap="notBeside" w:vAnchor="text" w:hAnchor="text" w:xAlign="center" w:y="1"/>
              <w:jc w:val="center"/>
              <w:rPr>
                <w:lang w:val="es-ES"/>
              </w:rPr>
            </w:pPr>
            <w:r>
              <w:t xml:space="preserve">Measurement </w:t>
            </w:r>
            <w:r>
              <w:br/>
              <w:t>bandwidth</w:t>
            </w:r>
            <w:r>
              <w:rPr>
                <w:lang w:val="es-ES"/>
              </w:rPr>
              <w:br/>
              <w:t>(kHz)</w:t>
            </w:r>
          </w:p>
        </w:tc>
        <w:tc>
          <w:tcPr>
            <w:tcW w:w="1716" w:type="dxa"/>
            <w:tcBorders>
              <w:top w:val="single" w:sz="6" w:space="0" w:color="auto"/>
              <w:left w:val="single" w:sz="6" w:space="0" w:color="auto"/>
              <w:bottom w:val="single" w:sz="6" w:space="0" w:color="auto"/>
              <w:right w:val="single" w:sz="6" w:space="0" w:color="auto"/>
            </w:tcBorders>
          </w:tcPr>
          <w:p w14:paraId="426F61EF" w14:textId="77777777" w:rsidR="00302C3F" w:rsidRDefault="00302C3F">
            <w:pPr>
              <w:pStyle w:val="TableText"/>
              <w:framePr w:hSpace="181" w:wrap="notBeside" w:vAnchor="text" w:hAnchor="text" w:xAlign="center" w:y="1"/>
              <w:spacing w:line="240" w:lineRule="auto"/>
              <w:jc w:val="center"/>
              <w:rPr>
                <w:lang w:val="es-ES"/>
              </w:rPr>
            </w:pPr>
            <w:proofErr w:type="spellStart"/>
            <w:r>
              <w:t>e.i.r.p</w:t>
            </w:r>
            <w:proofErr w:type="spellEnd"/>
            <w:r>
              <w:t>. limit</w:t>
            </w:r>
            <w:r>
              <w:rPr>
                <w:lang w:val="es-ES"/>
              </w:rPr>
              <w:br/>
              <w:t>(dBW</w:t>
            </w:r>
            <w:proofErr w:type="gramStart"/>
            <w:r>
              <w:rPr>
                <w:lang w:val="es-ES"/>
              </w:rPr>
              <w:t>)</w:t>
            </w:r>
            <w:r>
              <w:rPr>
                <w:position w:val="6"/>
                <w:sz w:val="14"/>
                <w:lang w:val="es-ES"/>
              </w:rPr>
              <w:t>(</w:t>
            </w:r>
            <w:proofErr w:type="gramEnd"/>
            <w:r>
              <w:rPr>
                <w:position w:val="6"/>
                <w:sz w:val="14"/>
                <w:lang w:val="es-ES"/>
              </w:rPr>
              <w:t>1)</w:t>
            </w:r>
          </w:p>
        </w:tc>
        <w:tc>
          <w:tcPr>
            <w:tcW w:w="1984" w:type="dxa"/>
            <w:tcBorders>
              <w:top w:val="single" w:sz="6" w:space="0" w:color="auto"/>
              <w:left w:val="single" w:sz="6" w:space="0" w:color="auto"/>
              <w:bottom w:val="single" w:sz="6" w:space="0" w:color="auto"/>
              <w:right w:val="single" w:sz="6" w:space="0" w:color="auto"/>
            </w:tcBorders>
          </w:tcPr>
          <w:p w14:paraId="460CD6E1" w14:textId="77777777" w:rsidR="00302C3F" w:rsidRDefault="00302C3F">
            <w:pPr>
              <w:pStyle w:val="TableText"/>
              <w:framePr w:hSpace="181" w:wrap="notBeside" w:vAnchor="text" w:hAnchor="text" w:xAlign="center" w:y="1"/>
              <w:jc w:val="center"/>
              <w:rPr>
                <w:lang w:val="es-ES"/>
              </w:rPr>
            </w:pPr>
            <w:r>
              <w:t xml:space="preserve">Measurement </w:t>
            </w:r>
            <w:r>
              <w:br/>
              <w:t>bandwidth</w:t>
            </w:r>
            <w:r>
              <w:rPr>
                <w:lang w:val="es-ES"/>
              </w:rPr>
              <w:br/>
              <w:t>(kHz)</w:t>
            </w:r>
          </w:p>
        </w:tc>
      </w:tr>
      <w:tr w:rsidR="00302C3F" w14:paraId="7C690CD0"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09384BD8" w14:textId="77777777" w:rsidR="00302C3F" w:rsidRDefault="00302C3F">
            <w:pPr>
              <w:pStyle w:val="TableText"/>
              <w:framePr w:hSpace="181" w:wrap="notBeside" w:vAnchor="text" w:hAnchor="text" w:xAlign="center" w:y="1"/>
              <w:jc w:val="center"/>
              <w:rPr>
                <w:lang w:val="es-ES"/>
              </w:rPr>
            </w:pPr>
            <w:r>
              <w:rPr>
                <w:lang w:val="es-ES"/>
              </w:rPr>
              <w:t>1 626-1 626.2</w:t>
            </w:r>
          </w:p>
        </w:tc>
        <w:tc>
          <w:tcPr>
            <w:tcW w:w="1716" w:type="dxa"/>
            <w:tcBorders>
              <w:top w:val="single" w:sz="6" w:space="0" w:color="auto"/>
              <w:left w:val="single" w:sz="6" w:space="0" w:color="auto"/>
              <w:bottom w:val="single" w:sz="6" w:space="0" w:color="auto"/>
              <w:right w:val="single" w:sz="6" w:space="0" w:color="auto"/>
            </w:tcBorders>
          </w:tcPr>
          <w:p w14:paraId="4FC26493" w14:textId="77777777" w:rsidR="00302C3F" w:rsidRDefault="00302C3F">
            <w:pPr>
              <w:pStyle w:val="TableText"/>
              <w:framePr w:hSpace="181" w:wrap="notBeside" w:vAnchor="text" w:hAnchor="text" w:xAlign="center" w:y="1"/>
              <w:ind w:left="227"/>
              <w:jc w:val="left"/>
              <w:rPr>
                <w:lang w:val="es-ES"/>
              </w:rPr>
            </w:pPr>
            <w:r>
              <w:rPr>
                <w:lang w:val="es-ES_tradnl"/>
              </w:rPr>
              <w:t>–</w:t>
            </w:r>
            <w:r>
              <w:rPr>
                <w:sz w:val="4"/>
                <w:lang w:val="es-ES_tradnl"/>
              </w:rPr>
              <w:t> </w:t>
            </w:r>
            <w:r>
              <w:rPr>
                <w:lang w:val="es-ES"/>
              </w:rPr>
              <w:t xml:space="preserve">47 to </w:t>
            </w:r>
            <w:r>
              <w:rPr>
                <w:lang w:val="es-ES_tradnl"/>
              </w:rPr>
              <w:t>–</w:t>
            </w:r>
            <w:r>
              <w:rPr>
                <w:sz w:val="4"/>
                <w:lang w:val="es-ES_tradnl"/>
              </w:rPr>
              <w:t> </w:t>
            </w:r>
            <w:r>
              <w:rPr>
                <w:lang w:val="es-ES"/>
              </w:rPr>
              <w:t>40</w:t>
            </w:r>
            <w:r>
              <w:rPr>
                <w:position w:val="6"/>
                <w:sz w:val="14"/>
                <w:lang w:val="es-ES"/>
              </w:rPr>
              <w:t>(3), (4)</w:t>
            </w:r>
          </w:p>
        </w:tc>
        <w:tc>
          <w:tcPr>
            <w:tcW w:w="1830" w:type="dxa"/>
            <w:tcBorders>
              <w:top w:val="single" w:sz="6" w:space="0" w:color="auto"/>
              <w:left w:val="single" w:sz="6" w:space="0" w:color="auto"/>
              <w:bottom w:val="single" w:sz="6" w:space="0" w:color="auto"/>
              <w:right w:val="single" w:sz="6" w:space="0" w:color="auto"/>
            </w:tcBorders>
          </w:tcPr>
          <w:p w14:paraId="6F9943B3" w14:textId="77777777" w:rsidR="00302C3F" w:rsidRDefault="00302C3F">
            <w:pPr>
              <w:pStyle w:val="TableText"/>
              <w:framePr w:hSpace="181" w:wrap="notBeside" w:vAnchor="text" w:hAnchor="text" w:xAlign="center" w:y="1"/>
              <w:jc w:val="center"/>
              <w:rPr>
                <w:lang w:val="es-ES"/>
              </w:rPr>
            </w:pPr>
            <w:r>
              <w:rPr>
                <w:lang w:val="es-ES"/>
              </w:rPr>
              <w:t> </w:t>
            </w:r>
            <w:r>
              <w:rPr>
                <w:lang w:val="es-ES"/>
              </w:rPr>
              <w:t> 30</w:t>
            </w:r>
          </w:p>
        </w:tc>
        <w:tc>
          <w:tcPr>
            <w:tcW w:w="1716" w:type="dxa"/>
            <w:tcBorders>
              <w:top w:val="single" w:sz="6" w:space="0" w:color="auto"/>
              <w:left w:val="single" w:sz="6" w:space="0" w:color="auto"/>
              <w:bottom w:val="single" w:sz="6" w:space="0" w:color="auto"/>
              <w:right w:val="single" w:sz="6" w:space="0" w:color="auto"/>
            </w:tcBorders>
          </w:tcPr>
          <w:p w14:paraId="65C7243C"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77</w:t>
            </w:r>
          </w:p>
        </w:tc>
        <w:tc>
          <w:tcPr>
            <w:tcW w:w="1984" w:type="dxa"/>
            <w:tcBorders>
              <w:top w:val="single" w:sz="6" w:space="0" w:color="auto"/>
              <w:left w:val="single" w:sz="6" w:space="0" w:color="auto"/>
              <w:bottom w:val="single" w:sz="6" w:space="0" w:color="auto"/>
              <w:right w:val="single" w:sz="6" w:space="0" w:color="auto"/>
            </w:tcBorders>
          </w:tcPr>
          <w:p w14:paraId="23C5F587" w14:textId="77777777" w:rsidR="00302C3F" w:rsidRDefault="00302C3F">
            <w:pPr>
              <w:pStyle w:val="TableText"/>
              <w:framePr w:hSpace="181" w:wrap="notBeside" w:vAnchor="text" w:hAnchor="text" w:xAlign="center" w:y="1"/>
              <w:jc w:val="center"/>
              <w:rPr>
                <w:lang w:val="es-ES"/>
              </w:rPr>
            </w:pPr>
            <w:r>
              <w:rPr>
                <w:lang w:val="es-ES"/>
              </w:rPr>
              <w:t>100</w:t>
            </w:r>
          </w:p>
        </w:tc>
      </w:tr>
      <w:tr w:rsidR="00302C3F" w14:paraId="041CAFDF"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651D806B" w14:textId="77777777" w:rsidR="00302C3F" w:rsidRDefault="00302C3F">
            <w:pPr>
              <w:pStyle w:val="TableText"/>
              <w:framePr w:hSpace="181" w:wrap="notBeside" w:vAnchor="text" w:hAnchor="text" w:xAlign="center" w:y="1"/>
              <w:jc w:val="center"/>
              <w:rPr>
                <w:lang w:val="es-ES"/>
              </w:rPr>
            </w:pPr>
            <w:r>
              <w:rPr>
                <w:lang w:val="es-ES"/>
              </w:rPr>
              <w:t>1 626.2-1 626.5</w:t>
            </w:r>
          </w:p>
        </w:tc>
        <w:tc>
          <w:tcPr>
            <w:tcW w:w="1716" w:type="dxa"/>
            <w:tcBorders>
              <w:top w:val="single" w:sz="6" w:space="0" w:color="auto"/>
              <w:left w:val="single" w:sz="6" w:space="0" w:color="auto"/>
              <w:bottom w:val="single" w:sz="6" w:space="0" w:color="auto"/>
              <w:right w:val="single" w:sz="6" w:space="0" w:color="auto"/>
            </w:tcBorders>
          </w:tcPr>
          <w:p w14:paraId="37D488A0"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40</w:t>
            </w:r>
            <w:r>
              <w:rPr>
                <w:position w:val="6"/>
                <w:sz w:val="14"/>
                <w:lang w:val="es-ES"/>
              </w:rPr>
              <w:t>(4)</w:t>
            </w:r>
          </w:p>
        </w:tc>
        <w:tc>
          <w:tcPr>
            <w:tcW w:w="1830" w:type="dxa"/>
            <w:tcBorders>
              <w:top w:val="single" w:sz="6" w:space="0" w:color="auto"/>
              <w:left w:val="single" w:sz="6" w:space="0" w:color="auto"/>
              <w:bottom w:val="single" w:sz="6" w:space="0" w:color="auto"/>
              <w:right w:val="single" w:sz="6" w:space="0" w:color="auto"/>
            </w:tcBorders>
          </w:tcPr>
          <w:p w14:paraId="6F8A3059" w14:textId="77777777" w:rsidR="00302C3F" w:rsidRDefault="00302C3F">
            <w:pPr>
              <w:pStyle w:val="TableText"/>
              <w:framePr w:hSpace="181" w:wrap="notBeside" w:vAnchor="text" w:hAnchor="text" w:xAlign="center" w:y="1"/>
              <w:jc w:val="center"/>
              <w:rPr>
                <w:lang w:val="es-ES"/>
              </w:rPr>
            </w:pPr>
            <w:r>
              <w:rPr>
                <w:lang w:val="es-ES"/>
              </w:rPr>
              <w:t> </w:t>
            </w:r>
            <w:r>
              <w:rPr>
                <w:lang w:val="es-ES"/>
              </w:rPr>
              <w:t> 30</w:t>
            </w:r>
          </w:p>
        </w:tc>
        <w:tc>
          <w:tcPr>
            <w:tcW w:w="1716" w:type="dxa"/>
            <w:tcBorders>
              <w:top w:val="single" w:sz="6" w:space="0" w:color="auto"/>
              <w:left w:val="single" w:sz="6" w:space="0" w:color="auto"/>
              <w:bottom w:val="single" w:sz="6" w:space="0" w:color="auto"/>
              <w:right w:val="single" w:sz="6" w:space="0" w:color="auto"/>
            </w:tcBorders>
          </w:tcPr>
          <w:p w14:paraId="236DB873"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77</w:t>
            </w:r>
          </w:p>
        </w:tc>
        <w:tc>
          <w:tcPr>
            <w:tcW w:w="1984" w:type="dxa"/>
            <w:tcBorders>
              <w:top w:val="single" w:sz="6" w:space="0" w:color="auto"/>
              <w:left w:val="single" w:sz="6" w:space="0" w:color="auto"/>
              <w:bottom w:val="single" w:sz="6" w:space="0" w:color="auto"/>
              <w:right w:val="single" w:sz="6" w:space="0" w:color="auto"/>
            </w:tcBorders>
          </w:tcPr>
          <w:p w14:paraId="4349DFD4" w14:textId="77777777" w:rsidR="00302C3F" w:rsidRDefault="00302C3F">
            <w:pPr>
              <w:pStyle w:val="TableText"/>
              <w:framePr w:hSpace="181" w:wrap="notBeside" w:vAnchor="text" w:hAnchor="text" w:xAlign="center" w:y="1"/>
              <w:jc w:val="center"/>
              <w:rPr>
                <w:lang w:val="es-ES"/>
              </w:rPr>
            </w:pPr>
            <w:r>
              <w:rPr>
                <w:lang w:val="es-ES"/>
              </w:rPr>
              <w:t>100</w:t>
            </w:r>
          </w:p>
        </w:tc>
      </w:tr>
      <w:tr w:rsidR="00302C3F" w14:paraId="59102384"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5B93A80C" w14:textId="77777777" w:rsidR="00302C3F" w:rsidRDefault="00302C3F">
            <w:pPr>
              <w:pStyle w:val="TableText"/>
              <w:framePr w:hSpace="181" w:wrap="notBeside" w:vAnchor="text" w:hAnchor="text" w:xAlign="center" w:y="1"/>
              <w:jc w:val="center"/>
              <w:rPr>
                <w:lang w:val="es-ES"/>
              </w:rPr>
            </w:pPr>
            <w:r>
              <w:rPr>
                <w:lang w:val="es-ES"/>
              </w:rPr>
              <w:t>1 626.5-1 660.5</w:t>
            </w:r>
          </w:p>
        </w:tc>
        <w:tc>
          <w:tcPr>
            <w:tcW w:w="1716" w:type="dxa"/>
            <w:tcBorders>
              <w:top w:val="single" w:sz="6" w:space="0" w:color="auto"/>
              <w:left w:val="single" w:sz="6" w:space="0" w:color="auto"/>
              <w:bottom w:val="single" w:sz="6" w:space="0" w:color="auto"/>
              <w:right w:val="single" w:sz="6" w:space="0" w:color="auto"/>
            </w:tcBorders>
          </w:tcPr>
          <w:p w14:paraId="4AA2AA60" w14:textId="77777777" w:rsidR="00302C3F" w:rsidRDefault="00302C3F">
            <w:pPr>
              <w:pStyle w:val="TableText"/>
              <w:framePr w:hSpace="181" w:wrap="notBeside" w:vAnchor="text" w:hAnchor="text" w:xAlign="center" w:y="1"/>
              <w:jc w:val="center"/>
              <w:rPr>
                <w:lang w:val="es-ES"/>
              </w:rPr>
            </w:pPr>
            <w:r>
              <w:rPr>
                <w:position w:val="6"/>
                <w:sz w:val="14"/>
                <w:lang w:val="es-ES"/>
              </w:rPr>
              <w:t>(5)</w:t>
            </w:r>
          </w:p>
        </w:tc>
        <w:tc>
          <w:tcPr>
            <w:tcW w:w="1830" w:type="dxa"/>
            <w:tcBorders>
              <w:top w:val="single" w:sz="6" w:space="0" w:color="auto"/>
              <w:left w:val="single" w:sz="6" w:space="0" w:color="auto"/>
              <w:bottom w:val="single" w:sz="6" w:space="0" w:color="auto"/>
              <w:right w:val="single" w:sz="6" w:space="0" w:color="auto"/>
            </w:tcBorders>
          </w:tcPr>
          <w:p w14:paraId="5D6F12CB" w14:textId="77777777" w:rsidR="00302C3F" w:rsidRDefault="00302C3F">
            <w:pPr>
              <w:pStyle w:val="TableText"/>
              <w:framePr w:hSpace="181" w:wrap="notBeside" w:vAnchor="text" w:hAnchor="text" w:xAlign="center" w:y="1"/>
              <w:jc w:val="center"/>
              <w:rPr>
                <w:lang w:val="es-ES"/>
              </w:rPr>
            </w:pPr>
            <w:r>
              <w:rPr>
                <w:position w:val="6"/>
                <w:sz w:val="14"/>
                <w:lang w:val="es-ES"/>
              </w:rPr>
              <w:t>(5)</w:t>
            </w:r>
          </w:p>
        </w:tc>
        <w:tc>
          <w:tcPr>
            <w:tcW w:w="1716" w:type="dxa"/>
            <w:tcBorders>
              <w:top w:val="single" w:sz="6" w:space="0" w:color="auto"/>
              <w:left w:val="single" w:sz="6" w:space="0" w:color="auto"/>
              <w:bottom w:val="single" w:sz="6" w:space="0" w:color="auto"/>
              <w:right w:val="single" w:sz="6" w:space="0" w:color="auto"/>
            </w:tcBorders>
          </w:tcPr>
          <w:p w14:paraId="0930E17F" w14:textId="77777777" w:rsidR="00302C3F" w:rsidRDefault="00302C3F">
            <w:pPr>
              <w:pStyle w:val="TableText"/>
              <w:framePr w:hSpace="181" w:wrap="notBeside" w:vAnchor="text" w:hAnchor="text" w:xAlign="center" w:y="1"/>
              <w:jc w:val="center"/>
              <w:rPr>
                <w:lang w:val="es-ES"/>
              </w:rPr>
            </w:pPr>
            <w:r>
              <w:rPr>
                <w:position w:val="6"/>
                <w:sz w:val="14"/>
                <w:lang w:val="es-ES"/>
              </w:rPr>
              <w:t>(5)</w:t>
            </w:r>
          </w:p>
        </w:tc>
        <w:tc>
          <w:tcPr>
            <w:tcW w:w="1984" w:type="dxa"/>
            <w:tcBorders>
              <w:top w:val="single" w:sz="6" w:space="0" w:color="auto"/>
              <w:left w:val="single" w:sz="6" w:space="0" w:color="auto"/>
              <w:bottom w:val="single" w:sz="6" w:space="0" w:color="auto"/>
              <w:right w:val="single" w:sz="6" w:space="0" w:color="auto"/>
            </w:tcBorders>
          </w:tcPr>
          <w:p w14:paraId="33478042" w14:textId="77777777" w:rsidR="00302C3F" w:rsidRDefault="00302C3F">
            <w:pPr>
              <w:pStyle w:val="TableText"/>
              <w:framePr w:hSpace="181" w:wrap="notBeside" w:vAnchor="text" w:hAnchor="text" w:xAlign="center" w:y="1"/>
              <w:jc w:val="center"/>
              <w:rPr>
                <w:lang w:val="es-ES"/>
              </w:rPr>
            </w:pPr>
            <w:r>
              <w:rPr>
                <w:position w:val="6"/>
                <w:sz w:val="14"/>
                <w:lang w:val="es-ES"/>
              </w:rPr>
              <w:t>(5)</w:t>
            </w:r>
          </w:p>
        </w:tc>
      </w:tr>
      <w:tr w:rsidR="00302C3F" w14:paraId="78C46B70"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5B2F59FD" w14:textId="77777777" w:rsidR="00302C3F" w:rsidRDefault="00302C3F">
            <w:pPr>
              <w:pStyle w:val="TableText"/>
              <w:framePr w:hSpace="181" w:wrap="notBeside" w:vAnchor="text" w:hAnchor="text" w:xAlign="center" w:y="1"/>
              <w:jc w:val="center"/>
              <w:rPr>
                <w:lang w:val="es-ES"/>
              </w:rPr>
            </w:pPr>
            <w:r>
              <w:rPr>
                <w:lang w:val="es-ES"/>
              </w:rPr>
              <w:t>1 660.5-1 662.5</w:t>
            </w:r>
          </w:p>
        </w:tc>
        <w:tc>
          <w:tcPr>
            <w:tcW w:w="1716" w:type="dxa"/>
            <w:tcBorders>
              <w:top w:val="single" w:sz="6" w:space="0" w:color="auto"/>
              <w:left w:val="single" w:sz="6" w:space="0" w:color="auto"/>
              <w:bottom w:val="single" w:sz="6" w:space="0" w:color="auto"/>
              <w:right w:val="single" w:sz="6" w:space="0" w:color="auto"/>
            </w:tcBorders>
          </w:tcPr>
          <w:p w14:paraId="429C3359" w14:textId="77777777" w:rsidR="00302C3F" w:rsidRDefault="00302C3F">
            <w:pPr>
              <w:pStyle w:val="TableText"/>
              <w:framePr w:hSpace="181" w:wrap="notBeside" w:vAnchor="text" w:hAnchor="text" w:xAlign="center" w:y="1"/>
              <w:jc w:val="center"/>
              <w:rPr>
                <w:lang w:val="es-ES"/>
              </w:rPr>
            </w:pPr>
            <w:r>
              <w:rPr>
                <w:position w:val="6"/>
                <w:sz w:val="14"/>
                <w:lang w:val="es-ES"/>
              </w:rPr>
              <w:t>(5)</w:t>
            </w:r>
          </w:p>
        </w:tc>
        <w:tc>
          <w:tcPr>
            <w:tcW w:w="1830" w:type="dxa"/>
            <w:tcBorders>
              <w:top w:val="single" w:sz="6" w:space="0" w:color="auto"/>
              <w:left w:val="single" w:sz="6" w:space="0" w:color="auto"/>
              <w:bottom w:val="single" w:sz="6" w:space="0" w:color="auto"/>
              <w:right w:val="single" w:sz="6" w:space="0" w:color="auto"/>
            </w:tcBorders>
          </w:tcPr>
          <w:p w14:paraId="7D6AC182" w14:textId="77777777" w:rsidR="00302C3F" w:rsidRDefault="00302C3F">
            <w:pPr>
              <w:pStyle w:val="TableText"/>
              <w:framePr w:hSpace="181" w:wrap="notBeside" w:vAnchor="text" w:hAnchor="text" w:xAlign="center" w:y="1"/>
              <w:jc w:val="center"/>
              <w:rPr>
                <w:lang w:val="es-ES"/>
              </w:rPr>
            </w:pPr>
            <w:r>
              <w:rPr>
                <w:position w:val="6"/>
                <w:sz w:val="14"/>
                <w:lang w:val="es-ES"/>
              </w:rPr>
              <w:t>(5)</w:t>
            </w:r>
          </w:p>
        </w:tc>
        <w:tc>
          <w:tcPr>
            <w:tcW w:w="1716" w:type="dxa"/>
            <w:tcBorders>
              <w:top w:val="single" w:sz="6" w:space="0" w:color="auto"/>
              <w:left w:val="single" w:sz="6" w:space="0" w:color="auto"/>
              <w:bottom w:val="single" w:sz="6" w:space="0" w:color="auto"/>
              <w:right w:val="single" w:sz="6" w:space="0" w:color="auto"/>
            </w:tcBorders>
          </w:tcPr>
          <w:p w14:paraId="038E92D0" w14:textId="77777777" w:rsidR="00302C3F" w:rsidRDefault="00302C3F">
            <w:pPr>
              <w:pStyle w:val="TableText"/>
              <w:framePr w:hSpace="181" w:wrap="notBeside" w:vAnchor="text" w:hAnchor="text" w:xAlign="center" w:y="1"/>
              <w:jc w:val="center"/>
              <w:rPr>
                <w:lang w:val="es-ES"/>
              </w:rPr>
            </w:pPr>
            <w:r>
              <w:rPr>
                <w:position w:val="6"/>
                <w:sz w:val="14"/>
                <w:lang w:val="es-ES"/>
              </w:rPr>
              <w:t>(5)</w:t>
            </w:r>
          </w:p>
        </w:tc>
        <w:tc>
          <w:tcPr>
            <w:tcW w:w="1984" w:type="dxa"/>
            <w:tcBorders>
              <w:top w:val="single" w:sz="6" w:space="0" w:color="auto"/>
              <w:left w:val="single" w:sz="6" w:space="0" w:color="auto"/>
              <w:bottom w:val="single" w:sz="6" w:space="0" w:color="auto"/>
              <w:right w:val="single" w:sz="6" w:space="0" w:color="auto"/>
            </w:tcBorders>
          </w:tcPr>
          <w:p w14:paraId="0FA2EF56" w14:textId="77777777" w:rsidR="00302C3F" w:rsidRDefault="00302C3F">
            <w:pPr>
              <w:pStyle w:val="TableText"/>
              <w:framePr w:hSpace="181" w:wrap="notBeside" w:vAnchor="text" w:hAnchor="text" w:xAlign="center" w:y="1"/>
              <w:jc w:val="center"/>
              <w:rPr>
                <w:lang w:val="es-ES"/>
              </w:rPr>
            </w:pPr>
            <w:r>
              <w:rPr>
                <w:position w:val="6"/>
                <w:sz w:val="14"/>
                <w:lang w:val="es-ES"/>
              </w:rPr>
              <w:t>(5)</w:t>
            </w:r>
          </w:p>
        </w:tc>
      </w:tr>
      <w:tr w:rsidR="00302C3F" w14:paraId="2EFCF623"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225AA68B" w14:textId="77777777" w:rsidR="00302C3F" w:rsidRDefault="00302C3F">
            <w:pPr>
              <w:pStyle w:val="TableText"/>
              <w:framePr w:hSpace="181" w:wrap="notBeside" w:vAnchor="text" w:hAnchor="text" w:xAlign="center" w:y="1"/>
              <w:jc w:val="center"/>
              <w:rPr>
                <w:lang w:val="es-ES"/>
              </w:rPr>
            </w:pPr>
            <w:r>
              <w:rPr>
                <w:lang w:val="es-ES"/>
              </w:rPr>
              <w:t>1 662.5-1 665.5</w:t>
            </w:r>
          </w:p>
        </w:tc>
        <w:tc>
          <w:tcPr>
            <w:tcW w:w="1716" w:type="dxa"/>
            <w:tcBorders>
              <w:top w:val="single" w:sz="6" w:space="0" w:color="auto"/>
              <w:left w:val="single" w:sz="6" w:space="0" w:color="auto"/>
              <w:bottom w:val="single" w:sz="6" w:space="0" w:color="auto"/>
              <w:right w:val="single" w:sz="6" w:space="0" w:color="auto"/>
            </w:tcBorders>
          </w:tcPr>
          <w:p w14:paraId="0AB3E9E8"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60</w:t>
            </w:r>
          </w:p>
        </w:tc>
        <w:tc>
          <w:tcPr>
            <w:tcW w:w="1830" w:type="dxa"/>
            <w:tcBorders>
              <w:top w:val="single" w:sz="6" w:space="0" w:color="auto"/>
              <w:left w:val="single" w:sz="6" w:space="0" w:color="auto"/>
              <w:bottom w:val="single" w:sz="6" w:space="0" w:color="auto"/>
              <w:right w:val="single" w:sz="6" w:space="0" w:color="auto"/>
            </w:tcBorders>
          </w:tcPr>
          <w:p w14:paraId="332120BB" w14:textId="77777777" w:rsidR="00302C3F" w:rsidRDefault="00302C3F">
            <w:pPr>
              <w:pStyle w:val="TableText"/>
              <w:framePr w:hSpace="181" w:wrap="notBeside" w:vAnchor="text" w:hAnchor="text" w:xAlign="center" w:y="1"/>
              <w:jc w:val="center"/>
              <w:rPr>
                <w:lang w:val="es-ES"/>
              </w:rPr>
            </w:pPr>
            <w:r>
              <w:rPr>
                <w:lang w:val="es-ES"/>
              </w:rPr>
              <w:t> </w:t>
            </w:r>
            <w:r>
              <w:rPr>
                <w:lang w:val="es-ES"/>
              </w:rPr>
              <w:t> 30</w:t>
            </w:r>
          </w:p>
        </w:tc>
        <w:tc>
          <w:tcPr>
            <w:tcW w:w="1716" w:type="dxa"/>
            <w:tcBorders>
              <w:top w:val="single" w:sz="6" w:space="0" w:color="auto"/>
              <w:left w:val="single" w:sz="6" w:space="0" w:color="auto"/>
              <w:bottom w:val="single" w:sz="6" w:space="0" w:color="auto"/>
              <w:right w:val="single" w:sz="6" w:space="0" w:color="auto"/>
            </w:tcBorders>
          </w:tcPr>
          <w:p w14:paraId="18F1694C"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77</w:t>
            </w:r>
          </w:p>
        </w:tc>
        <w:tc>
          <w:tcPr>
            <w:tcW w:w="1984" w:type="dxa"/>
            <w:tcBorders>
              <w:top w:val="single" w:sz="6" w:space="0" w:color="auto"/>
              <w:left w:val="single" w:sz="6" w:space="0" w:color="auto"/>
              <w:bottom w:val="single" w:sz="6" w:space="0" w:color="auto"/>
              <w:right w:val="single" w:sz="6" w:space="0" w:color="auto"/>
            </w:tcBorders>
          </w:tcPr>
          <w:p w14:paraId="00614767" w14:textId="77777777" w:rsidR="00302C3F" w:rsidRDefault="00302C3F">
            <w:pPr>
              <w:pStyle w:val="TableText"/>
              <w:framePr w:hSpace="181" w:wrap="notBeside" w:vAnchor="text" w:hAnchor="text" w:xAlign="center" w:y="1"/>
              <w:jc w:val="center"/>
              <w:rPr>
                <w:lang w:val="es-ES"/>
              </w:rPr>
            </w:pPr>
            <w:r>
              <w:rPr>
                <w:lang w:val="es-ES"/>
              </w:rPr>
              <w:t>100</w:t>
            </w:r>
          </w:p>
        </w:tc>
      </w:tr>
      <w:tr w:rsidR="00302C3F" w14:paraId="33556B73"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397B6DA4" w14:textId="77777777" w:rsidR="00302C3F" w:rsidRDefault="00302C3F">
            <w:pPr>
              <w:pStyle w:val="TableText"/>
              <w:framePr w:hSpace="181" w:wrap="notBeside" w:vAnchor="text" w:hAnchor="text" w:xAlign="center" w:y="1"/>
              <w:jc w:val="center"/>
              <w:rPr>
                <w:lang w:val="es-ES"/>
              </w:rPr>
            </w:pPr>
            <w:r>
              <w:rPr>
                <w:lang w:val="es-ES"/>
              </w:rPr>
              <w:t>1 665.5-1 670.5</w:t>
            </w:r>
          </w:p>
        </w:tc>
        <w:tc>
          <w:tcPr>
            <w:tcW w:w="1716" w:type="dxa"/>
            <w:tcBorders>
              <w:top w:val="single" w:sz="6" w:space="0" w:color="auto"/>
              <w:left w:val="single" w:sz="6" w:space="0" w:color="auto"/>
              <w:bottom w:val="single" w:sz="6" w:space="0" w:color="auto"/>
              <w:right w:val="single" w:sz="6" w:space="0" w:color="auto"/>
            </w:tcBorders>
          </w:tcPr>
          <w:p w14:paraId="4F29F508"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60</w:t>
            </w:r>
          </w:p>
        </w:tc>
        <w:tc>
          <w:tcPr>
            <w:tcW w:w="1830" w:type="dxa"/>
            <w:tcBorders>
              <w:top w:val="single" w:sz="6" w:space="0" w:color="auto"/>
              <w:left w:val="single" w:sz="6" w:space="0" w:color="auto"/>
              <w:bottom w:val="single" w:sz="6" w:space="0" w:color="auto"/>
              <w:right w:val="single" w:sz="6" w:space="0" w:color="auto"/>
            </w:tcBorders>
          </w:tcPr>
          <w:p w14:paraId="17AA268D" w14:textId="77777777" w:rsidR="00302C3F" w:rsidRDefault="00302C3F">
            <w:pPr>
              <w:pStyle w:val="TableText"/>
              <w:framePr w:hSpace="181" w:wrap="notBeside" w:vAnchor="text" w:hAnchor="text" w:xAlign="center" w:y="1"/>
              <w:jc w:val="center"/>
              <w:rPr>
                <w:lang w:val="es-ES"/>
              </w:rPr>
            </w:pPr>
            <w:r>
              <w:rPr>
                <w:lang w:val="es-ES"/>
              </w:rPr>
              <w:t> </w:t>
            </w:r>
            <w:r>
              <w:rPr>
                <w:lang w:val="es-ES"/>
              </w:rPr>
              <w:t> 100</w:t>
            </w:r>
          </w:p>
        </w:tc>
        <w:tc>
          <w:tcPr>
            <w:tcW w:w="1716" w:type="dxa"/>
            <w:tcBorders>
              <w:top w:val="single" w:sz="6" w:space="0" w:color="auto"/>
              <w:left w:val="single" w:sz="6" w:space="0" w:color="auto"/>
              <w:bottom w:val="single" w:sz="6" w:space="0" w:color="auto"/>
              <w:right w:val="single" w:sz="6" w:space="0" w:color="auto"/>
            </w:tcBorders>
          </w:tcPr>
          <w:p w14:paraId="75959F40"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77</w:t>
            </w:r>
          </w:p>
        </w:tc>
        <w:tc>
          <w:tcPr>
            <w:tcW w:w="1984" w:type="dxa"/>
            <w:tcBorders>
              <w:top w:val="single" w:sz="6" w:space="0" w:color="auto"/>
              <w:left w:val="single" w:sz="6" w:space="0" w:color="auto"/>
              <w:bottom w:val="single" w:sz="6" w:space="0" w:color="auto"/>
              <w:right w:val="single" w:sz="6" w:space="0" w:color="auto"/>
            </w:tcBorders>
          </w:tcPr>
          <w:p w14:paraId="080B44A7" w14:textId="77777777" w:rsidR="00302C3F" w:rsidRDefault="00302C3F">
            <w:pPr>
              <w:pStyle w:val="TableText"/>
              <w:framePr w:hSpace="181" w:wrap="notBeside" w:vAnchor="text" w:hAnchor="text" w:xAlign="center" w:y="1"/>
              <w:jc w:val="center"/>
              <w:rPr>
                <w:lang w:val="es-ES"/>
              </w:rPr>
            </w:pPr>
            <w:r>
              <w:rPr>
                <w:lang w:val="es-ES"/>
              </w:rPr>
              <w:t>100</w:t>
            </w:r>
          </w:p>
        </w:tc>
      </w:tr>
      <w:tr w:rsidR="00302C3F" w14:paraId="02432481"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6F07D7C4" w14:textId="77777777" w:rsidR="00302C3F" w:rsidRDefault="00302C3F">
            <w:pPr>
              <w:pStyle w:val="TableText"/>
              <w:framePr w:hSpace="181" w:wrap="notBeside" w:vAnchor="text" w:hAnchor="text" w:xAlign="center" w:y="1"/>
              <w:jc w:val="center"/>
              <w:rPr>
                <w:lang w:val="es-ES"/>
              </w:rPr>
            </w:pPr>
            <w:r>
              <w:rPr>
                <w:lang w:val="es-ES"/>
              </w:rPr>
              <w:t>1 670.5-1 680.5</w:t>
            </w:r>
          </w:p>
        </w:tc>
        <w:tc>
          <w:tcPr>
            <w:tcW w:w="1716" w:type="dxa"/>
            <w:tcBorders>
              <w:top w:val="single" w:sz="6" w:space="0" w:color="auto"/>
              <w:left w:val="single" w:sz="6" w:space="0" w:color="auto"/>
              <w:bottom w:val="single" w:sz="6" w:space="0" w:color="auto"/>
              <w:right w:val="single" w:sz="6" w:space="0" w:color="auto"/>
            </w:tcBorders>
          </w:tcPr>
          <w:p w14:paraId="1AED74DD"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60</w:t>
            </w:r>
          </w:p>
        </w:tc>
        <w:tc>
          <w:tcPr>
            <w:tcW w:w="1830" w:type="dxa"/>
            <w:tcBorders>
              <w:top w:val="single" w:sz="6" w:space="0" w:color="auto"/>
              <w:left w:val="single" w:sz="6" w:space="0" w:color="auto"/>
              <w:bottom w:val="single" w:sz="6" w:space="0" w:color="auto"/>
              <w:right w:val="single" w:sz="6" w:space="0" w:color="auto"/>
            </w:tcBorders>
          </w:tcPr>
          <w:p w14:paraId="22A9031A" w14:textId="77777777" w:rsidR="00302C3F" w:rsidRDefault="00302C3F">
            <w:pPr>
              <w:pStyle w:val="TableText"/>
              <w:framePr w:hSpace="181" w:wrap="notBeside" w:vAnchor="text" w:hAnchor="text" w:xAlign="center" w:y="1"/>
              <w:jc w:val="center"/>
              <w:rPr>
                <w:lang w:val="es-ES"/>
              </w:rPr>
            </w:pPr>
            <w:r>
              <w:rPr>
                <w:lang w:val="es-ES"/>
              </w:rPr>
              <w:t> </w:t>
            </w:r>
            <w:r>
              <w:rPr>
                <w:lang w:val="es-ES"/>
              </w:rPr>
              <w:t> 300</w:t>
            </w:r>
          </w:p>
        </w:tc>
        <w:tc>
          <w:tcPr>
            <w:tcW w:w="1716" w:type="dxa"/>
            <w:tcBorders>
              <w:top w:val="single" w:sz="6" w:space="0" w:color="auto"/>
              <w:left w:val="single" w:sz="6" w:space="0" w:color="auto"/>
              <w:bottom w:val="single" w:sz="6" w:space="0" w:color="auto"/>
              <w:right w:val="single" w:sz="6" w:space="0" w:color="auto"/>
            </w:tcBorders>
          </w:tcPr>
          <w:p w14:paraId="48E8B47E"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77</w:t>
            </w:r>
          </w:p>
        </w:tc>
        <w:tc>
          <w:tcPr>
            <w:tcW w:w="1984" w:type="dxa"/>
            <w:tcBorders>
              <w:top w:val="single" w:sz="6" w:space="0" w:color="auto"/>
              <w:left w:val="single" w:sz="6" w:space="0" w:color="auto"/>
              <w:bottom w:val="single" w:sz="6" w:space="0" w:color="auto"/>
              <w:right w:val="single" w:sz="6" w:space="0" w:color="auto"/>
            </w:tcBorders>
          </w:tcPr>
          <w:p w14:paraId="22611A85" w14:textId="77777777" w:rsidR="00302C3F" w:rsidRDefault="00302C3F">
            <w:pPr>
              <w:pStyle w:val="TableText"/>
              <w:framePr w:hSpace="181" w:wrap="notBeside" w:vAnchor="text" w:hAnchor="text" w:xAlign="center" w:y="1"/>
              <w:jc w:val="center"/>
              <w:rPr>
                <w:lang w:val="es-ES"/>
              </w:rPr>
            </w:pPr>
            <w:r>
              <w:rPr>
                <w:lang w:val="es-ES"/>
              </w:rPr>
              <w:t>100</w:t>
            </w:r>
          </w:p>
        </w:tc>
      </w:tr>
      <w:tr w:rsidR="00302C3F" w14:paraId="79132B69"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64DC2794" w14:textId="77777777" w:rsidR="00302C3F" w:rsidRDefault="00302C3F">
            <w:pPr>
              <w:pStyle w:val="TableText"/>
              <w:framePr w:hSpace="181" w:wrap="notBeside" w:vAnchor="text" w:hAnchor="text" w:xAlign="center" w:y="1"/>
              <w:jc w:val="center"/>
              <w:rPr>
                <w:lang w:val="es-ES"/>
              </w:rPr>
            </w:pPr>
            <w:r>
              <w:rPr>
                <w:lang w:val="es-ES"/>
              </w:rPr>
              <w:t>1 680.5-1 690.5</w:t>
            </w:r>
          </w:p>
        </w:tc>
        <w:tc>
          <w:tcPr>
            <w:tcW w:w="1716" w:type="dxa"/>
            <w:tcBorders>
              <w:top w:val="single" w:sz="6" w:space="0" w:color="auto"/>
              <w:left w:val="single" w:sz="6" w:space="0" w:color="auto"/>
              <w:bottom w:val="single" w:sz="6" w:space="0" w:color="auto"/>
              <w:right w:val="single" w:sz="6" w:space="0" w:color="auto"/>
            </w:tcBorders>
          </w:tcPr>
          <w:p w14:paraId="6CE733E1"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60</w:t>
            </w:r>
          </w:p>
        </w:tc>
        <w:tc>
          <w:tcPr>
            <w:tcW w:w="1830" w:type="dxa"/>
            <w:tcBorders>
              <w:top w:val="single" w:sz="6" w:space="0" w:color="auto"/>
              <w:left w:val="single" w:sz="6" w:space="0" w:color="auto"/>
              <w:bottom w:val="single" w:sz="6" w:space="0" w:color="auto"/>
              <w:right w:val="single" w:sz="6" w:space="0" w:color="auto"/>
            </w:tcBorders>
          </w:tcPr>
          <w:p w14:paraId="7CBE2AC8" w14:textId="77777777" w:rsidR="00302C3F" w:rsidRDefault="00302C3F">
            <w:pPr>
              <w:pStyle w:val="TableText"/>
              <w:framePr w:hSpace="181" w:wrap="notBeside" w:vAnchor="text" w:hAnchor="text" w:xAlign="center" w:y="1"/>
              <w:jc w:val="center"/>
              <w:rPr>
                <w:lang w:val="es-ES"/>
              </w:rPr>
            </w:pPr>
            <w:r>
              <w:rPr>
                <w:lang w:val="es-ES"/>
              </w:rPr>
              <w:t>1 000</w:t>
            </w:r>
          </w:p>
        </w:tc>
        <w:tc>
          <w:tcPr>
            <w:tcW w:w="1716" w:type="dxa"/>
            <w:tcBorders>
              <w:top w:val="single" w:sz="6" w:space="0" w:color="auto"/>
              <w:left w:val="single" w:sz="6" w:space="0" w:color="auto"/>
              <w:bottom w:val="single" w:sz="6" w:space="0" w:color="auto"/>
              <w:right w:val="single" w:sz="6" w:space="0" w:color="auto"/>
            </w:tcBorders>
          </w:tcPr>
          <w:p w14:paraId="267C382A"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77</w:t>
            </w:r>
          </w:p>
        </w:tc>
        <w:tc>
          <w:tcPr>
            <w:tcW w:w="1984" w:type="dxa"/>
            <w:tcBorders>
              <w:top w:val="single" w:sz="6" w:space="0" w:color="auto"/>
              <w:left w:val="single" w:sz="6" w:space="0" w:color="auto"/>
              <w:bottom w:val="single" w:sz="6" w:space="0" w:color="auto"/>
              <w:right w:val="single" w:sz="6" w:space="0" w:color="auto"/>
            </w:tcBorders>
          </w:tcPr>
          <w:p w14:paraId="06836054" w14:textId="77777777" w:rsidR="00302C3F" w:rsidRDefault="00302C3F">
            <w:pPr>
              <w:pStyle w:val="TableText"/>
              <w:framePr w:hSpace="181" w:wrap="notBeside" w:vAnchor="text" w:hAnchor="text" w:xAlign="center" w:y="1"/>
              <w:jc w:val="center"/>
              <w:rPr>
                <w:lang w:val="es-ES"/>
              </w:rPr>
            </w:pPr>
            <w:r>
              <w:rPr>
                <w:lang w:val="es-ES"/>
              </w:rPr>
              <w:t>100</w:t>
            </w:r>
          </w:p>
        </w:tc>
      </w:tr>
      <w:tr w:rsidR="00302C3F" w14:paraId="763DEC8E"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6F75647C" w14:textId="77777777" w:rsidR="00302C3F" w:rsidRDefault="00302C3F">
            <w:pPr>
              <w:pStyle w:val="TableText"/>
              <w:framePr w:hSpace="181" w:wrap="notBeside" w:vAnchor="text" w:hAnchor="text" w:xAlign="center" w:y="1"/>
              <w:jc w:val="center"/>
              <w:rPr>
                <w:lang w:val="es-ES"/>
              </w:rPr>
            </w:pPr>
            <w:r>
              <w:rPr>
                <w:lang w:val="es-ES"/>
              </w:rPr>
              <w:t>1 690.5-2 250</w:t>
            </w:r>
          </w:p>
        </w:tc>
        <w:tc>
          <w:tcPr>
            <w:tcW w:w="1716" w:type="dxa"/>
            <w:tcBorders>
              <w:top w:val="single" w:sz="6" w:space="0" w:color="auto"/>
              <w:left w:val="single" w:sz="6" w:space="0" w:color="auto"/>
              <w:bottom w:val="single" w:sz="6" w:space="0" w:color="auto"/>
              <w:right w:val="single" w:sz="6" w:space="0" w:color="auto"/>
            </w:tcBorders>
          </w:tcPr>
          <w:p w14:paraId="059CE74E"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60</w:t>
            </w:r>
          </w:p>
        </w:tc>
        <w:tc>
          <w:tcPr>
            <w:tcW w:w="1830" w:type="dxa"/>
            <w:tcBorders>
              <w:top w:val="single" w:sz="6" w:space="0" w:color="auto"/>
              <w:left w:val="single" w:sz="6" w:space="0" w:color="auto"/>
              <w:bottom w:val="single" w:sz="6" w:space="0" w:color="auto"/>
              <w:right w:val="single" w:sz="6" w:space="0" w:color="auto"/>
            </w:tcBorders>
          </w:tcPr>
          <w:p w14:paraId="6F62515B" w14:textId="77777777" w:rsidR="00302C3F" w:rsidRDefault="00302C3F">
            <w:pPr>
              <w:pStyle w:val="TableText"/>
              <w:framePr w:hSpace="181" w:wrap="notBeside" w:vAnchor="text" w:hAnchor="text" w:xAlign="center" w:y="1"/>
              <w:jc w:val="center"/>
              <w:rPr>
                <w:lang w:val="es-ES"/>
              </w:rPr>
            </w:pPr>
            <w:r>
              <w:rPr>
                <w:lang w:val="es-ES"/>
              </w:rPr>
              <w:t>3 000</w:t>
            </w:r>
          </w:p>
        </w:tc>
        <w:tc>
          <w:tcPr>
            <w:tcW w:w="1716" w:type="dxa"/>
            <w:tcBorders>
              <w:top w:val="single" w:sz="6" w:space="0" w:color="auto"/>
              <w:left w:val="single" w:sz="6" w:space="0" w:color="auto"/>
              <w:bottom w:val="single" w:sz="6" w:space="0" w:color="auto"/>
              <w:right w:val="single" w:sz="6" w:space="0" w:color="auto"/>
            </w:tcBorders>
          </w:tcPr>
          <w:p w14:paraId="29D80ED7"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77</w:t>
            </w:r>
          </w:p>
        </w:tc>
        <w:tc>
          <w:tcPr>
            <w:tcW w:w="1984" w:type="dxa"/>
            <w:tcBorders>
              <w:top w:val="single" w:sz="6" w:space="0" w:color="auto"/>
              <w:left w:val="single" w:sz="6" w:space="0" w:color="auto"/>
              <w:bottom w:val="single" w:sz="6" w:space="0" w:color="auto"/>
              <w:right w:val="single" w:sz="6" w:space="0" w:color="auto"/>
            </w:tcBorders>
          </w:tcPr>
          <w:p w14:paraId="60BE0E78" w14:textId="77777777" w:rsidR="00302C3F" w:rsidRDefault="00302C3F">
            <w:pPr>
              <w:pStyle w:val="TableText"/>
              <w:framePr w:hSpace="181" w:wrap="notBeside" w:vAnchor="text" w:hAnchor="text" w:xAlign="center" w:y="1"/>
              <w:jc w:val="center"/>
              <w:rPr>
                <w:lang w:val="es-ES"/>
              </w:rPr>
            </w:pPr>
            <w:r>
              <w:rPr>
                <w:lang w:val="es-ES"/>
              </w:rPr>
              <w:t>100</w:t>
            </w:r>
          </w:p>
        </w:tc>
      </w:tr>
      <w:tr w:rsidR="00302C3F" w14:paraId="08AF2FB8" w14:textId="77777777" w:rsidTr="00A045F6">
        <w:trPr>
          <w:cantSplit/>
          <w:jc w:val="center"/>
        </w:trPr>
        <w:tc>
          <w:tcPr>
            <w:tcW w:w="2442" w:type="dxa"/>
            <w:tcBorders>
              <w:top w:val="single" w:sz="6" w:space="0" w:color="auto"/>
              <w:left w:val="single" w:sz="6" w:space="0" w:color="auto"/>
              <w:bottom w:val="single" w:sz="6" w:space="0" w:color="auto"/>
              <w:right w:val="single" w:sz="6" w:space="0" w:color="auto"/>
            </w:tcBorders>
          </w:tcPr>
          <w:p w14:paraId="40A8F10E" w14:textId="77777777" w:rsidR="00302C3F" w:rsidRDefault="00302C3F">
            <w:pPr>
              <w:pStyle w:val="TableText"/>
              <w:framePr w:hSpace="181" w:wrap="notBeside" w:vAnchor="text" w:hAnchor="text" w:xAlign="center" w:y="1"/>
              <w:jc w:val="center"/>
              <w:rPr>
                <w:lang w:val="es-ES"/>
              </w:rPr>
            </w:pPr>
            <w:r>
              <w:rPr>
                <w:lang w:val="es-ES"/>
              </w:rPr>
              <w:t>2 250-12 750</w:t>
            </w:r>
          </w:p>
        </w:tc>
        <w:tc>
          <w:tcPr>
            <w:tcW w:w="1716" w:type="dxa"/>
            <w:tcBorders>
              <w:top w:val="single" w:sz="6" w:space="0" w:color="auto"/>
              <w:left w:val="single" w:sz="6" w:space="0" w:color="auto"/>
              <w:bottom w:val="single" w:sz="6" w:space="0" w:color="auto"/>
              <w:right w:val="single" w:sz="6" w:space="0" w:color="auto"/>
            </w:tcBorders>
          </w:tcPr>
          <w:p w14:paraId="2C348E76"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60</w:t>
            </w:r>
            <w:r>
              <w:rPr>
                <w:position w:val="6"/>
                <w:sz w:val="14"/>
                <w:lang w:val="es-ES"/>
              </w:rPr>
              <w:t>(6), (7), (8)</w:t>
            </w:r>
          </w:p>
        </w:tc>
        <w:tc>
          <w:tcPr>
            <w:tcW w:w="1830" w:type="dxa"/>
            <w:tcBorders>
              <w:top w:val="single" w:sz="6" w:space="0" w:color="auto"/>
              <w:left w:val="single" w:sz="6" w:space="0" w:color="auto"/>
              <w:bottom w:val="single" w:sz="6" w:space="0" w:color="auto"/>
              <w:right w:val="single" w:sz="6" w:space="0" w:color="auto"/>
            </w:tcBorders>
          </w:tcPr>
          <w:p w14:paraId="774A1FAD" w14:textId="77777777" w:rsidR="00302C3F" w:rsidRDefault="00302C3F">
            <w:pPr>
              <w:pStyle w:val="TableText"/>
              <w:framePr w:hSpace="181" w:wrap="notBeside" w:vAnchor="text" w:hAnchor="text" w:xAlign="center" w:y="1"/>
              <w:jc w:val="center"/>
              <w:rPr>
                <w:lang w:val="es-ES"/>
              </w:rPr>
            </w:pPr>
            <w:r>
              <w:rPr>
                <w:lang w:val="es-ES"/>
              </w:rPr>
              <w:t>3 000</w:t>
            </w:r>
          </w:p>
        </w:tc>
        <w:tc>
          <w:tcPr>
            <w:tcW w:w="1716" w:type="dxa"/>
            <w:tcBorders>
              <w:top w:val="single" w:sz="6" w:space="0" w:color="auto"/>
              <w:left w:val="single" w:sz="6" w:space="0" w:color="auto"/>
              <w:bottom w:val="single" w:sz="6" w:space="0" w:color="auto"/>
              <w:right w:val="single" w:sz="6" w:space="0" w:color="auto"/>
            </w:tcBorders>
          </w:tcPr>
          <w:p w14:paraId="71AE35BE" w14:textId="77777777" w:rsidR="00302C3F" w:rsidRDefault="00302C3F">
            <w:pPr>
              <w:pStyle w:val="TableText"/>
              <w:framePr w:hSpace="181" w:wrap="notBeside" w:vAnchor="text" w:hAnchor="text" w:xAlign="center" w:y="1"/>
              <w:jc w:val="center"/>
              <w:rPr>
                <w:lang w:val="es-ES"/>
              </w:rPr>
            </w:pPr>
            <w:r>
              <w:rPr>
                <w:lang w:val="es-ES_tradnl"/>
              </w:rPr>
              <w:t>–</w:t>
            </w:r>
            <w:r>
              <w:rPr>
                <w:sz w:val="4"/>
                <w:lang w:val="es-ES_tradnl"/>
              </w:rPr>
              <w:t> </w:t>
            </w:r>
            <w:r>
              <w:rPr>
                <w:lang w:val="es-ES"/>
              </w:rPr>
              <w:t>77</w:t>
            </w:r>
          </w:p>
        </w:tc>
        <w:tc>
          <w:tcPr>
            <w:tcW w:w="1984" w:type="dxa"/>
            <w:tcBorders>
              <w:top w:val="single" w:sz="6" w:space="0" w:color="auto"/>
              <w:left w:val="single" w:sz="6" w:space="0" w:color="auto"/>
              <w:bottom w:val="single" w:sz="6" w:space="0" w:color="auto"/>
              <w:right w:val="single" w:sz="6" w:space="0" w:color="auto"/>
            </w:tcBorders>
          </w:tcPr>
          <w:p w14:paraId="4350AAA4" w14:textId="77777777" w:rsidR="00302C3F" w:rsidRDefault="00302C3F">
            <w:pPr>
              <w:pStyle w:val="TableText"/>
              <w:framePr w:hSpace="181" w:wrap="notBeside" w:vAnchor="text" w:hAnchor="text" w:xAlign="center" w:y="1"/>
              <w:jc w:val="center"/>
              <w:rPr>
                <w:lang w:val="es-ES"/>
              </w:rPr>
            </w:pPr>
            <w:r>
              <w:rPr>
                <w:lang w:val="es-ES"/>
              </w:rPr>
              <w:t>100</w:t>
            </w:r>
          </w:p>
        </w:tc>
      </w:tr>
      <w:tr w:rsidR="00A045F6" w14:paraId="052419FA" w14:textId="77777777" w:rsidTr="00A045F6">
        <w:trPr>
          <w:cantSplit/>
          <w:jc w:val="center"/>
        </w:trPr>
        <w:tc>
          <w:tcPr>
            <w:tcW w:w="9688" w:type="dxa"/>
            <w:gridSpan w:val="5"/>
            <w:tcBorders>
              <w:top w:val="single" w:sz="6" w:space="0" w:color="auto"/>
              <w:left w:val="single" w:sz="6" w:space="0" w:color="auto"/>
              <w:bottom w:val="single" w:sz="6" w:space="0" w:color="auto"/>
              <w:right w:val="single" w:sz="6" w:space="0" w:color="auto"/>
            </w:tcBorders>
          </w:tcPr>
          <w:p w14:paraId="110D21C8" w14:textId="77777777" w:rsidR="00A045F6" w:rsidRDefault="00A045F6" w:rsidP="00A045F6">
            <w:pPr>
              <w:pStyle w:val="TableLegend"/>
              <w:framePr w:hSpace="181" w:wrap="notBeside" w:vAnchor="text" w:hAnchor="text" w:xAlign="center" w:y="1"/>
              <w:tabs>
                <w:tab w:val="left" w:pos="227"/>
              </w:tabs>
              <w:ind w:left="227" w:right="57" w:hanging="227"/>
              <w:rPr>
                <w:lang w:val="en-IE"/>
              </w:rPr>
            </w:pPr>
            <w:r>
              <w:rPr>
                <w:position w:val="6"/>
                <w:sz w:val="14"/>
                <w:lang w:val="es-ES"/>
              </w:rPr>
              <w:t>(1)</w:t>
            </w:r>
            <w:r>
              <w:rPr>
                <w:lang w:val="en-IE"/>
              </w:rPr>
              <w:tab/>
              <w:t>Peak-hold measurement techniques should be used in the bands 1</w:t>
            </w:r>
            <w:r>
              <w:rPr>
                <w:rFonts w:ascii="Tms Rmn" w:hAnsi="Tms Rmn"/>
                <w:sz w:val="12"/>
                <w:lang w:val="en-IE"/>
              </w:rPr>
              <w:t> </w:t>
            </w:r>
            <w:r>
              <w:rPr>
                <w:lang w:val="en-IE"/>
              </w:rPr>
              <w:t>000-1</w:t>
            </w:r>
            <w:r>
              <w:rPr>
                <w:rFonts w:ascii="Tms Rmn" w:hAnsi="Tms Rmn"/>
                <w:sz w:val="12"/>
                <w:lang w:val="en-IE"/>
              </w:rPr>
              <w:t> </w:t>
            </w:r>
            <w:r>
              <w:rPr>
                <w:lang w:val="en-IE"/>
              </w:rPr>
              <w:t>525 MHz and 1</w:t>
            </w:r>
            <w:r>
              <w:rPr>
                <w:rFonts w:ascii="Tms Rmn" w:hAnsi="Tms Rmn"/>
                <w:sz w:val="12"/>
                <w:lang w:val="en-IE"/>
              </w:rPr>
              <w:t> </w:t>
            </w:r>
            <w:r>
              <w:rPr>
                <w:lang w:val="en-IE"/>
              </w:rPr>
              <w:t>559-1</w:t>
            </w:r>
            <w:r>
              <w:rPr>
                <w:rFonts w:ascii="Tms Rmn" w:hAnsi="Tms Rmn"/>
                <w:sz w:val="12"/>
                <w:lang w:val="en-IE"/>
              </w:rPr>
              <w:t> </w:t>
            </w:r>
            <w:r>
              <w:rPr>
                <w:lang w:val="en-IE"/>
              </w:rPr>
              <w:t>626.5 MHz and from 1</w:t>
            </w:r>
            <w:r>
              <w:rPr>
                <w:rFonts w:ascii="Tms Rmn" w:hAnsi="Tms Rmn"/>
                <w:sz w:val="12"/>
                <w:lang w:val="en-IE"/>
              </w:rPr>
              <w:t> </w:t>
            </w:r>
            <w:r>
              <w:rPr>
                <w:lang w:val="en-IE"/>
              </w:rPr>
              <w:t>662.5-12</w:t>
            </w:r>
            <w:r>
              <w:rPr>
                <w:rFonts w:ascii="Tms Rmn" w:hAnsi="Tms Rmn"/>
                <w:sz w:val="12"/>
                <w:lang w:val="en-IE"/>
              </w:rPr>
              <w:t> </w:t>
            </w:r>
            <w:r>
              <w:rPr>
                <w:lang w:val="en-IE"/>
              </w:rPr>
              <w:t xml:space="preserve">750 </w:t>
            </w:r>
            <w:proofErr w:type="spellStart"/>
            <w:r>
              <w:rPr>
                <w:lang w:val="en-IE"/>
              </w:rPr>
              <w:t>MHz.</w:t>
            </w:r>
            <w:proofErr w:type="spellEnd"/>
            <w:r>
              <w:rPr>
                <w:lang w:val="en-IE"/>
              </w:rPr>
              <w:t xml:space="preserve"> These values should be at or below the values for the carrier-on state.</w:t>
            </w:r>
          </w:p>
          <w:p w14:paraId="3FD5B56C" w14:textId="77777777" w:rsidR="00A045F6" w:rsidRDefault="00A045F6" w:rsidP="00A045F6">
            <w:pPr>
              <w:pStyle w:val="TableLegend"/>
              <w:framePr w:hSpace="181" w:wrap="notBeside" w:vAnchor="text" w:hAnchor="text" w:xAlign="center" w:y="1"/>
              <w:tabs>
                <w:tab w:val="left" w:pos="227"/>
              </w:tabs>
              <w:ind w:left="227" w:right="57" w:hanging="227"/>
              <w:rPr>
                <w:lang w:val="en-IE"/>
              </w:rPr>
            </w:pPr>
            <w:r>
              <w:rPr>
                <w:position w:val="6"/>
                <w:sz w:val="14"/>
                <w:lang w:val="es-ES"/>
              </w:rPr>
              <w:t>(2)</w:t>
            </w:r>
            <w:r>
              <w:rPr>
                <w:lang w:val="en-IE"/>
              </w:rPr>
              <w:tab/>
              <w:t>In the sub-band 1</w:t>
            </w:r>
            <w:r>
              <w:rPr>
                <w:rFonts w:ascii="Tms Rmn" w:hAnsi="Tms Rmn"/>
                <w:sz w:val="12"/>
                <w:lang w:val="en-IE"/>
              </w:rPr>
              <w:t> </w:t>
            </w:r>
            <w:r>
              <w:rPr>
                <w:lang w:val="en-IE"/>
              </w:rPr>
              <w:t>573.42-1</w:t>
            </w:r>
            <w:r>
              <w:rPr>
                <w:rFonts w:ascii="Tms Rmn" w:hAnsi="Tms Rmn"/>
                <w:sz w:val="12"/>
                <w:lang w:val="en-IE"/>
              </w:rPr>
              <w:t> </w:t>
            </w:r>
            <w:r>
              <w:rPr>
                <w:lang w:val="en-IE"/>
              </w:rPr>
              <w:t xml:space="preserve">580.42 MHz, the average measurement time is 20 </w:t>
            </w:r>
            <w:proofErr w:type="spellStart"/>
            <w:r>
              <w:rPr>
                <w:lang w:val="en-IE"/>
              </w:rPr>
              <w:t>ms</w:t>
            </w:r>
            <w:proofErr w:type="spellEnd"/>
            <w:r>
              <w:rPr>
                <w:lang w:val="en-IE"/>
              </w:rPr>
              <w:t>.</w:t>
            </w:r>
          </w:p>
          <w:p w14:paraId="049DB9D1" w14:textId="77777777" w:rsidR="00A045F6" w:rsidRDefault="00A045F6" w:rsidP="00A045F6">
            <w:pPr>
              <w:pStyle w:val="TableLegend"/>
              <w:framePr w:hSpace="181" w:wrap="notBeside" w:vAnchor="text" w:hAnchor="text" w:xAlign="center" w:y="1"/>
              <w:tabs>
                <w:tab w:val="left" w:pos="227"/>
              </w:tabs>
              <w:ind w:left="227" w:right="57" w:hanging="227"/>
              <w:rPr>
                <w:lang w:val="en-IE"/>
              </w:rPr>
            </w:pPr>
            <w:r>
              <w:rPr>
                <w:position w:val="6"/>
                <w:sz w:val="14"/>
                <w:lang w:val="es-ES"/>
              </w:rPr>
              <w:t>(3)</w:t>
            </w:r>
            <w:r>
              <w:rPr>
                <w:lang w:val="en-IE"/>
              </w:rPr>
              <w:tab/>
              <w:t>Linearly interpolated (</w:t>
            </w:r>
            <w:proofErr w:type="spellStart"/>
            <w:r>
              <w:rPr>
                <w:lang w:val="en-IE"/>
              </w:rPr>
              <w:t>dBW</w:t>
            </w:r>
            <w:proofErr w:type="spellEnd"/>
            <w:r>
              <w:rPr>
                <w:lang w:val="en-IE"/>
              </w:rPr>
              <w:t>) versus frequency.</w:t>
            </w:r>
          </w:p>
          <w:p w14:paraId="31EE48A4" w14:textId="77777777" w:rsidR="00A045F6" w:rsidRDefault="00A045F6" w:rsidP="00A045F6">
            <w:pPr>
              <w:pStyle w:val="TableLegend"/>
              <w:framePr w:hSpace="181" w:wrap="notBeside" w:vAnchor="text" w:hAnchor="text" w:xAlign="center" w:y="1"/>
              <w:tabs>
                <w:tab w:val="left" w:pos="227"/>
              </w:tabs>
              <w:ind w:left="227" w:right="57" w:hanging="227"/>
              <w:rPr>
                <w:lang w:val="en-IE"/>
              </w:rPr>
            </w:pPr>
            <w:r>
              <w:rPr>
                <w:position w:val="6"/>
                <w:sz w:val="14"/>
                <w:lang w:val="es-ES"/>
              </w:rPr>
              <w:t>(4)</w:t>
            </w:r>
            <w:r>
              <w:rPr>
                <w:lang w:val="en-IE"/>
              </w:rPr>
              <w:tab/>
              <w:t>The power limits specified in Table 2a in the 1</w:t>
            </w:r>
            <w:r>
              <w:rPr>
                <w:rFonts w:ascii="Tms Rmn" w:hAnsi="Tms Rmn"/>
                <w:sz w:val="12"/>
                <w:lang w:val="en-IE"/>
              </w:rPr>
              <w:t> </w:t>
            </w:r>
            <w:r>
              <w:rPr>
                <w:lang w:val="en-IE"/>
              </w:rPr>
              <w:t>624.5-1</w:t>
            </w:r>
            <w:r>
              <w:rPr>
                <w:rFonts w:ascii="Tms Rmn" w:hAnsi="Tms Rmn"/>
                <w:sz w:val="12"/>
                <w:lang w:val="en-IE"/>
              </w:rPr>
              <w:t> </w:t>
            </w:r>
            <w:r>
              <w:rPr>
                <w:lang w:val="en-IE"/>
              </w:rPr>
              <w:t>626.5 MHz band require further study. This study is important to determine whether less stringent limits may enhance spectrum efficiency and utilization immediately above 1</w:t>
            </w:r>
            <w:r>
              <w:rPr>
                <w:rFonts w:ascii="Tms Rmn" w:hAnsi="Tms Rmn"/>
                <w:sz w:val="12"/>
                <w:lang w:val="en-IE"/>
              </w:rPr>
              <w:t> </w:t>
            </w:r>
            <w:r>
              <w:rPr>
                <w:lang w:val="en-IE"/>
              </w:rPr>
              <w:t>626.5 </w:t>
            </w:r>
            <w:proofErr w:type="spellStart"/>
            <w:r>
              <w:rPr>
                <w:lang w:val="en-IE"/>
              </w:rPr>
              <w:t>MHz.</w:t>
            </w:r>
            <w:proofErr w:type="spellEnd"/>
          </w:p>
          <w:p w14:paraId="1D657A85" w14:textId="77777777" w:rsidR="00A045F6" w:rsidRDefault="00A045F6" w:rsidP="00A045F6">
            <w:pPr>
              <w:pStyle w:val="TableLegend"/>
              <w:framePr w:hSpace="181" w:wrap="notBeside" w:vAnchor="text" w:hAnchor="text" w:xAlign="center" w:y="1"/>
              <w:tabs>
                <w:tab w:val="left" w:pos="227"/>
              </w:tabs>
              <w:ind w:left="227" w:right="57" w:hanging="227"/>
              <w:rPr>
                <w:lang w:val="en-IE"/>
              </w:rPr>
            </w:pPr>
            <w:r>
              <w:rPr>
                <w:position w:val="6"/>
                <w:sz w:val="14"/>
                <w:lang w:val="es-ES"/>
              </w:rPr>
              <w:t>(5)</w:t>
            </w:r>
            <w:r>
              <w:rPr>
                <w:lang w:val="en-IE"/>
              </w:rPr>
              <w:tab/>
              <w:t>The unwanted emissions in that frequency range are limited by § 3.2.</w:t>
            </w:r>
          </w:p>
          <w:p w14:paraId="591A09F8" w14:textId="77777777" w:rsidR="00A045F6" w:rsidRDefault="00A045F6" w:rsidP="00A045F6">
            <w:pPr>
              <w:pStyle w:val="TableLegend"/>
              <w:framePr w:hSpace="181" w:wrap="notBeside" w:vAnchor="text" w:hAnchor="text" w:xAlign="center" w:y="1"/>
              <w:tabs>
                <w:tab w:val="left" w:pos="227"/>
              </w:tabs>
              <w:ind w:left="227" w:right="57" w:hanging="227"/>
              <w:rPr>
                <w:lang w:val="en-IE"/>
              </w:rPr>
            </w:pPr>
            <w:r>
              <w:rPr>
                <w:position w:val="6"/>
                <w:sz w:val="14"/>
                <w:lang w:val="es-ES"/>
              </w:rPr>
              <w:t>(6)</w:t>
            </w:r>
            <w:r>
              <w:rPr>
                <w:lang w:val="en-IE"/>
              </w:rPr>
              <w:tab/>
              <w:t>In the band 3</w:t>
            </w:r>
            <w:r>
              <w:rPr>
                <w:rFonts w:ascii="Tms Rmn" w:hAnsi="Tms Rmn"/>
                <w:sz w:val="12"/>
                <w:lang w:val="en-IE"/>
              </w:rPr>
              <w:t> </w:t>
            </w:r>
            <w:r>
              <w:rPr>
                <w:lang w:val="en-IE"/>
              </w:rPr>
              <w:t>263.0-3</w:t>
            </w:r>
            <w:r>
              <w:rPr>
                <w:rFonts w:ascii="Tms Rmn" w:hAnsi="Tms Rmn"/>
                <w:sz w:val="12"/>
                <w:lang w:val="en-IE"/>
              </w:rPr>
              <w:t> </w:t>
            </w:r>
            <w:r>
              <w:rPr>
                <w:lang w:val="en-IE"/>
              </w:rPr>
              <w:t xml:space="preserve">321.0 MHz the maximum </w:t>
            </w:r>
            <w:proofErr w:type="spellStart"/>
            <w:r>
              <w:rPr>
                <w:lang w:val="en-IE"/>
              </w:rPr>
              <w:t>e.i.r.p</w:t>
            </w:r>
            <w:proofErr w:type="spellEnd"/>
            <w:r>
              <w:rPr>
                <w:lang w:val="en-IE"/>
              </w:rPr>
              <w:t xml:space="preserve">. in one, and only one, 300 kHz measurement bandwidth shall not exceed </w:t>
            </w:r>
            <w:r>
              <w:rPr>
                <w:position w:val="7"/>
                <w:lang w:val="es-ES_tradnl"/>
              </w:rPr>
              <w:t>_</w:t>
            </w:r>
            <w:r>
              <w:rPr>
                <w:sz w:val="4"/>
                <w:lang w:val="es-ES_tradnl"/>
              </w:rPr>
              <w:t> </w:t>
            </w:r>
            <w:r>
              <w:rPr>
                <w:lang w:val="en-IE"/>
              </w:rPr>
              <w:t xml:space="preserve">38 </w:t>
            </w:r>
            <w:proofErr w:type="spellStart"/>
            <w:r>
              <w:rPr>
                <w:lang w:val="en-IE"/>
              </w:rPr>
              <w:t>dBW</w:t>
            </w:r>
            <w:proofErr w:type="spellEnd"/>
            <w:r>
              <w:rPr>
                <w:lang w:val="en-IE"/>
              </w:rPr>
              <w:t>. Elsewhere in this band the power limit in Table 2a shall be applied.</w:t>
            </w:r>
          </w:p>
          <w:p w14:paraId="56FD5E23" w14:textId="77777777" w:rsidR="00A045F6" w:rsidRDefault="00A045F6" w:rsidP="00A045F6">
            <w:pPr>
              <w:pStyle w:val="TableLegend"/>
              <w:framePr w:hSpace="181" w:wrap="notBeside" w:vAnchor="text" w:hAnchor="text" w:xAlign="center" w:y="1"/>
              <w:tabs>
                <w:tab w:val="left" w:pos="227"/>
              </w:tabs>
              <w:ind w:left="227" w:right="57" w:hanging="227"/>
              <w:rPr>
                <w:lang w:val="en-IE"/>
              </w:rPr>
            </w:pPr>
            <w:r>
              <w:rPr>
                <w:position w:val="6"/>
                <w:sz w:val="14"/>
                <w:lang w:val="es-ES"/>
              </w:rPr>
              <w:t>(7)</w:t>
            </w:r>
            <w:r>
              <w:rPr>
                <w:lang w:val="en-IE"/>
              </w:rPr>
              <w:tab/>
              <w:t>In each of the bands 4</w:t>
            </w:r>
            <w:r>
              <w:rPr>
                <w:rFonts w:ascii="Tms Rmn" w:hAnsi="Tms Rmn"/>
                <w:sz w:val="12"/>
                <w:lang w:val="en-IE"/>
              </w:rPr>
              <w:t> </w:t>
            </w:r>
            <w:r>
              <w:rPr>
                <w:lang w:val="en-IE"/>
              </w:rPr>
              <w:t>894.5-4</w:t>
            </w:r>
            <w:r>
              <w:rPr>
                <w:rFonts w:ascii="Tms Rmn" w:hAnsi="Tms Rmn"/>
                <w:sz w:val="12"/>
                <w:lang w:val="en-IE"/>
              </w:rPr>
              <w:t> </w:t>
            </w:r>
            <w:r>
              <w:rPr>
                <w:lang w:val="en-IE"/>
              </w:rPr>
              <w:t>981.5 MHz, 6</w:t>
            </w:r>
            <w:r>
              <w:rPr>
                <w:rFonts w:ascii="Tms Rmn" w:hAnsi="Tms Rmn"/>
                <w:sz w:val="12"/>
                <w:lang w:val="en-IE"/>
              </w:rPr>
              <w:t> </w:t>
            </w:r>
            <w:r>
              <w:rPr>
                <w:lang w:val="en-IE"/>
              </w:rPr>
              <w:t>526.0-6</w:t>
            </w:r>
            <w:r>
              <w:rPr>
                <w:rFonts w:ascii="Tms Rmn" w:hAnsi="Tms Rmn"/>
                <w:sz w:val="12"/>
                <w:lang w:val="en-IE"/>
              </w:rPr>
              <w:t> </w:t>
            </w:r>
            <w:r>
              <w:rPr>
                <w:lang w:val="en-IE"/>
              </w:rPr>
              <w:t>642.0 MHz and 8</w:t>
            </w:r>
            <w:r>
              <w:rPr>
                <w:rFonts w:ascii="Tms Rmn" w:hAnsi="Tms Rmn"/>
                <w:sz w:val="12"/>
                <w:lang w:val="en-IE"/>
              </w:rPr>
              <w:t> </w:t>
            </w:r>
            <w:r>
              <w:rPr>
                <w:lang w:val="en-IE"/>
              </w:rPr>
              <w:t>175.5-8</w:t>
            </w:r>
            <w:r>
              <w:rPr>
                <w:rFonts w:ascii="Tms Rmn" w:hAnsi="Tms Rmn"/>
                <w:sz w:val="12"/>
                <w:lang w:val="en-IE"/>
              </w:rPr>
              <w:t> </w:t>
            </w:r>
            <w:r>
              <w:rPr>
                <w:lang w:val="en-IE"/>
              </w:rPr>
              <w:t xml:space="preserve">302.5 MHz the maximum </w:t>
            </w:r>
            <w:proofErr w:type="spellStart"/>
            <w:r>
              <w:rPr>
                <w:lang w:val="en-IE"/>
              </w:rPr>
              <w:t>e.i.r.p</w:t>
            </w:r>
            <w:proofErr w:type="spellEnd"/>
            <w:r>
              <w:rPr>
                <w:lang w:val="en-IE"/>
              </w:rPr>
              <w:t xml:space="preserve">. in one, and only one, 300 kHz measurement bandwidth shall not exceed </w:t>
            </w:r>
            <w:r>
              <w:rPr>
                <w:lang w:val="es-ES_tradnl"/>
              </w:rPr>
              <w:t>–</w:t>
            </w:r>
            <w:r>
              <w:rPr>
                <w:sz w:val="4"/>
                <w:lang w:val="es-ES_tradnl"/>
              </w:rPr>
              <w:t> </w:t>
            </w:r>
            <w:r>
              <w:rPr>
                <w:lang w:val="en-IE"/>
              </w:rPr>
              <w:t xml:space="preserve">48 </w:t>
            </w:r>
            <w:proofErr w:type="spellStart"/>
            <w:r>
              <w:rPr>
                <w:lang w:val="en-IE"/>
              </w:rPr>
              <w:t>dBW</w:t>
            </w:r>
            <w:proofErr w:type="spellEnd"/>
            <w:r>
              <w:rPr>
                <w:lang w:val="en-IE"/>
              </w:rPr>
              <w:t>. Elsewhere in this band the power limit in Table 2a shall be applied.</w:t>
            </w:r>
          </w:p>
          <w:p w14:paraId="4D245029" w14:textId="511145E5" w:rsidR="00A045F6" w:rsidRDefault="00A045F6" w:rsidP="00A045F6">
            <w:pPr>
              <w:pStyle w:val="TableText"/>
              <w:framePr w:hSpace="181" w:wrap="notBeside" w:vAnchor="text" w:hAnchor="text" w:xAlign="center" w:y="1"/>
              <w:jc w:val="center"/>
              <w:rPr>
                <w:lang w:val="es-ES"/>
              </w:rPr>
            </w:pPr>
            <w:r>
              <w:rPr>
                <w:position w:val="6"/>
                <w:sz w:val="14"/>
                <w:lang w:val="es-ES"/>
              </w:rPr>
              <w:t>(8)</w:t>
            </w:r>
            <w:r>
              <w:rPr>
                <w:lang w:val="en-IE"/>
              </w:rPr>
              <w:tab/>
              <w:t>In the band 9</w:t>
            </w:r>
            <w:r>
              <w:rPr>
                <w:rFonts w:ascii="Tms Rmn" w:hAnsi="Tms Rmn"/>
                <w:sz w:val="12"/>
                <w:lang w:val="en-IE"/>
              </w:rPr>
              <w:t> </w:t>
            </w:r>
            <w:r>
              <w:rPr>
                <w:lang w:val="en-IE"/>
              </w:rPr>
              <w:t>789.0-9</w:t>
            </w:r>
            <w:r>
              <w:rPr>
                <w:rFonts w:ascii="Tms Rmn" w:hAnsi="Tms Rmn"/>
                <w:sz w:val="12"/>
                <w:lang w:val="en-IE"/>
              </w:rPr>
              <w:t> </w:t>
            </w:r>
            <w:r>
              <w:rPr>
                <w:lang w:val="en-IE"/>
              </w:rPr>
              <w:t xml:space="preserve">963.0 MHz the maximum </w:t>
            </w:r>
            <w:proofErr w:type="spellStart"/>
            <w:r>
              <w:rPr>
                <w:lang w:val="en-IE"/>
              </w:rPr>
              <w:t>e.i.r.p</w:t>
            </w:r>
            <w:proofErr w:type="spellEnd"/>
            <w:r>
              <w:rPr>
                <w:lang w:val="en-IE"/>
              </w:rPr>
              <w:t xml:space="preserve">. in one, and only one, 300 kHz measurement bandwidth shall not exceed </w:t>
            </w:r>
            <w:r>
              <w:rPr>
                <w:position w:val="7"/>
                <w:lang w:val="es-ES_tradnl"/>
              </w:rPr>
              <w:t>_</w:t>
            </w:r>
            <w:r>
              <w:rPr>
                <w:sz w:val="4"/>
                <w:lang w:val="es-ES_tradnl"/>
              </w:rPr>
              <w:t> </w:t>
            </w:r>
            <w:r>
              <w:rPr>
                <w:lang w:val="en-IE"/>
              </w:rPr>
              <w:t xml:space="preserve">59 </w:t>
            </w:r>
            <w:proofErr w:type="spellStart"/>
            <w:r>
              <w:rPr>
                <w:lang w:val="en-IE"/>
              </w:rPr>
              <w:t>dBW</w:t>
            </w:r>
            <w:proofErr w:type="spellEnd"/>
            <w:r>
              <w:rPr>
                <w:lang w:val="en-IE"/>
              </w:rPr>
              <w:t>. Elsewhere in this band the power limit in Table 2a shall be applied.</w:t>
            </w:r>
          </w:p>
        </w:tc>
      </w:tr>
    </w:tbl>
    <w:p w14:paraId="7AAF8D22" w14:textId="77777777" w:rsidR="00952AE1" w:rsidRDefault="00952AE1" w:rsidP="00952AE1">
      <w:pPr>
        <w:pStyle w:val="Table"/>
        <w:rPr>
          <w:lang w:val="es-ES"/>
        </w:rPr>
      </w:pPr>
      <w:r>
        <w:rPr>
          <w:lang w:val="en-IE"/>
        </w:rPr>
        <w:t>TABLE</w:t>
      </w:r>
      <w:r>
        <w:rPr>
          <w:lang w:val="es-ES"/>
        </w:rPr>
        <w:t xml:space="preserve">  3a</w:t>
      </w:r>
    </w:p>
    <w:p w14:paraId="3BC65899" w14:textId="77777777" w:rsidR="00952AE1" w:rsidRDefault="00952AE1" w:rsidP="00952AE1">
      <w:pPr>
        <w:pStyle w:val="TableTitle"/>
        <w:rPr>
          <w:lang w:val="en-IE"/>
        </w:rPr>
      </w:pPr>
      <w:r>
        <w:rPr>
          <w:rFonts w:eastAsia="–¾’©"/>
          <w:lang w:val="en-IE"/>
        </w:rPr>
        <w:t>Limits for unwanted emissions within the 1 626.5</w:t>
      </w:r>
      <w:r>
        <w:rPr>
          <w:lang w:val="en-IE"/>
        </w:rPr>
        <w:t>-1 662.5 MHz band for MESs</w:t>
      </w:r>
      <w:r>
        <w:rPr>
          <w:lang w:val="en-IE"/>
        </w:rPr>
        <w:br/>
        <w:t xml:space="preserve">with an </w:t>
      </w:r>
      <w:proofErr w:type="spellStart"/>
      <w:r>
        <w:rPr>
          <w:lang w:val="en-IE"/>
        </w:rPr>
        <w:t>e.i.r.p</w:t>
      </w:r>
      <w:proofErr w:type="spellEnd"/>
      <w:r>
        <w:rPr>
          <w:lang w:val="en-IE"/>
        </w:rPr>
        <w:t xml:space="preserve">. less than or equal to 15 </w:t>
      </w:r>
      <w:proofErr w:type="spellStart"/>
      <w:r>
        <w:rPr>
          <w:lang w:val="en-IE"/>
        </w:rPr>
        <w:t>dBW</w:t>
      </w:r>
      <w:proofErr w:type="spellEnd"/>
    </w:p>
    <w:tbl>
      <w:tblPr>
        <w:tblW w:w="0" w:type="auto"/>
        <w:jc w:val="center"/>
        <w:tblLayout w:type="fixed"/>
        <w:tblCellMar>
          <w:left w:w="28" w:type="dxa"/>
          <w:right w:w="28" w:type="dxa"/>
        </w:tblCellMar>
        <w:tblLook w:val="0000" w:firstRow="0" w:lastRow="0" w:firstColumn="0" w:lastColumn="0" w:noHBand="0" w:noVBand="0"/>
      </w:tblPr>
      <w:tblGrid>
        <w:gridCol w:w="3686"/>
        <w:gridCol w:w="3686"/>
      </w:tblGrid>
      <w:tr w:rsidR="00952AE1" w14:paraId="7519A052" w14:textId="77777777">
        <w:trPr>
          <w:cantSplit/>
          <w:jc w:val="center"/>
        </w:trPr>
        <w:tc>
          <w:tcPr>
            <w:tcW w:w="3686" w:type="dxa"/>
            <w:tcBorders>
              <w:top w:val="single" w:sz="6" w:space="0" w:color="auto"/>
              <w:left w:val="single" w:sz="6" w:space="0" w:color="auto"/>
              <w:bottom w:val="single" w:sz="6" w:space="0" w:color="auto"/>
              <w:right w:val="single" w:sz="6" w:space="0" w:color="auto"/>
            </w:tcBorders>
          </w:tcPr>
          <w:p w14:paraId="4341BA2D" w14:textId="77777777" w:rsidR="00952AE1" w:rsidRDefault="00952AE1">
            <w:pPr>
              <w:pStyle w:val="TableText"/>
              <w:framePr w:hSpace="181" w:wrap="notBeside" w:vAnchor="text" w:hAnchor="text" w:xAlign="center" w:y="1"/>
              <w:jc w:val="center"/>
              <w:rPr>
                <w:lang w:val="es-ES"/>
              </w:rPr>
            </w:pPr>
            <w:r>
              <w:rPr>
                <w:lang w:val="en-IE"/>
              </w:rPr>
              <w:t xml:space="preserve">Offset from the edge of the band </w:t>
            </w:r>
            <w:r>
              <w:rPr>
                <w:lang w:val="en-IE"/>
              </w:rPr>
              <w:br/>
              <w:t>of the nominated bandwidth</w:t>
            </w:r>
            <w:r>
              <w:rPr>
                <w:lang w:val="es-ES"/>
              </w:rPr>
              <w:t xml:space="preserve"> </w:t>
            </w:r>
            <w:r>
              <w:rPr>
                <w:lang w:val="es-ES"/>
              </w:rPr>
              <w:br/>
              <w:t>(kHz)</w:t>
            </w:r>
          </w:p>
        </w:tc>
        <w:tc>
          <w:tcPr>
            <w:tcW w:w="3686" w:type="dxa"/>
            <w:tcBorders>
              <w:top w:val="single" w:sz="6" w:space="0" w:color="auto"/>
              <w:left w:val="single" w:sz="6" w:space="0" w:color="auto"/>
              <w:bottom w:val="single" w:sz="6" w:space="0" w:color="auto"/>
              <w:right w:val="single" w:sz="6" w:space="0" w:color="auto"/>
            </w:tcBorders>
          </w:tcPr>
          <w:p w14:paraId="4B902CF5" w14:textId="77777777" w:rsidR="00952AE1" w:rsidRDefault="00952AE1">
            <w:pPr>
              <w:pStyle w:val="TableText"/>
              <w:framePr w:hSpace="181" w:wrap="notBeside" w:vAnchor="text" w:hAnchor="text" w:xAlign="center" w:y="1"/>
              <w:jc w:val="center"/>
              <w:rPr>
                <w:lang w:val="es-ES"/>
              </w:rPr>
            </w:pPr>
            <w:r>
              <w:t xml:space="preserve">Maximum </w:t>
            </w:r>
            <w:proofErr w:type="spellStart"/>
            <w:r>
              <w:t>e.i.r.p</w:t>
            </w:r>
            <w:proofErr w:type="spellEnd"/>
            <w:r>
              <w:t>.</w:t>
            </w:r>
            <w:r>
              <w:rPr>
                <w:lang w:val="en-IE"/>
              </w:rPr>
              <w:t xml:space="preserve"> </w:t>
            </w:r>
            <w:r>
              <w:rPr>
                <w:lang w:val="es-ES"/>
              </w:rPr>
              <w:br/>
              <w:t>(dBW)</w:t>
            </w:r>
          </w:p>
        </w:tc>
      </w:tr>
      <w:tr w:rsidR="00952AE1" w14:paraId="2544F05B" w14:textId="77777777">
        <w:trPr>
          <w:cantSplit/>
          <w:jc w:val="center"/>
        </w:trPr>
        <w:tc>
          <w:tcPr>
            <w:tcW w:w="3686" w:type="dxa"/>
            <w:tcBorders>
              <w:top w:val="single" w:sz="6" w:space="0" w:color="auto"/>
              <w:left w:val="single" w:sz="6" w:space="0" w:color="auto"/>
              <w:bottom w:val="single" w:sz="6" w:space="0" w:color="auto"/>
              <w:right w:val="single" w:sz="6" w:space="0" w:color="auto"/>
            </w:tcBorders>
          </w:tcPr>
          <w:p w14:paraId="73286A83" w14:textId="77777777" w:rsidR="00952AE1" w:rsidRDefault="00952AE1">
            <w:pPr>
              <w:pStyle w:val="TableText"/>
              <w:framePr w:hSpace="181" w:wrap="notBeside" w:vAnchor="text" w:hAnchor="text" w:xAlign="center" w:y="1"/>
              <w:jc w:val="center"/>
              <w:rPr>
                <w:lang w:val="es-ES"/>
              </w:rPr>
            </w:pPr>
            <w:r>
              <w:rPr>
                <w:lang w:val="es-ES"/>
              </w:rPr>
              <w:t>0-25</w:t>
            </w:r>
          </w:p>
        </w:tc>
        <w:tc>
          <w:tcPr>
            <w:tcW w:w="3686" w:type="dxa"/>
            <w:tcBorders>
              <w:top w:val="single" w:sz="6" w:space="0" w:color="auto"/>
              <w:left w:val="single" w:sz="6" w:space="0" w:color="auto"/>
              <w:bottom w:val="single" w:sz="6" w:space="0" w:color="auto"/>
              <w:right w:val="single" w:sz="6" w:space="0" w:color="auto"/>
            </w:tcBorders>
          </w:tcPr>
          <w:p w14:paraId="708B2630" w14:textId="77777777" w:rsidR="00952AE1" w:rsidRDefault="00952AE1">
            <w:pPr>
              <w:pStyle w:val="TableText"/>
              <w:framePr w:hSpace="181" w:wrap="notBeside" w:vAnchor="text" w:hAnchor="text" w:xAlign="center" w:y="1"/>
              <w:jc w:val="center"/>
              <w:rPr>
                <w:lang w:val="es-ES"/>
              </w:rPr>
            </w:pPr>
            <w:r>
              <w:rPr>
                <w:lang w:val="es-ES"/>
              </w:rPr>
              <w:t xml:space="preserve">0 </w:t>
            </w:r>
            <w:r>
              <w:rPr>
                <w:lang w:val="en-IE"/>
              </w:rPr>
              <w:t>to</w:t>
            </w:r>
            <w:r>
              <w:rPr>
                <w:lang w:val="es-ES"/>
              </w:rPr>
              <w:t xml:space="preserve"> </w:t>
            </w:r>
            <w:r>
              <w:rPr>
                <w:lang w:val="es-ES_tradnl"/>
              </w:rPr>
              <w:t>–</w:t>
            </w:r>
            <w:r>
              <w:rPr>
                <w:sz w:val="4"/>
                <w:lang w:val="es-ES_tradnl"/>
              </w:rPr>
              <w:t> </w:t>
            </w:r>
            <w:r>
              <w:rPr>
                <w:lang w:val="es-ES"/>
              </w:rPr>
              <w:t>15</w:t>
            </w:r>
          </w:p>
        </w:tc>
      </w:tr>
      <w:tr w:rsidR="00952AE1" w14:paraId="29E0DA55" w14:textId="77777777">
        <w:trPr>
          <w:cantSplit/>
          <w:jc w:val="center"/>
        </w:trPr>
        <w:tc>
          <w:tcPr>
            <w:tcW w:w="3686" w:type="dxa"/>
            <w:tcBorders>
              <w:top w:val="single" w:sz="6" w:space="0" w:color="auto"/>
              <w:left w:val="single" w:sz="6" w:space="0" w:color="auto"/>
              <w:bottom w:val="single" w:sz="6" w:space="0" w:color="auto"/>
              <w:right w:val="single" w:sz="6" w:space="0" w:color="auto"/>
            </w:tcBorders>
          </w:tcPr>
          <w:p w14:paraId="60C5A2B5" w14:textId="77777777" w:rsidR="00952AE1" w:rsidRDefault="00952AE1">
            <w:pPr>
              <w:pStyle w:val="TableText"/>
              <w:framePr w:hSpace="181" w:wrap="notBeside" w:vAnchor="text" w:hAnchor="text" w:xAlign="center" w:y="1"/>
              <w:jc w:val="center"/>
              <w:rPr>
                <w:lang w:val="es-ES"/>
              </w:rPr>
            </w:pPr>
            <w:r>
              <w:rPr>
                <w:lang w:val="es-ES"/>
              </w:rPr>
              <w:t>25-125</w:t>
            </w:r>
          </w:p>
        </w:tc>
        <w:tc>
          <w:tcPr>
            <w:tcW w:w="3686" w:type="dxa"/>
            <w:tcBorders>
              <w:top w:val="single" w:sz="6" w:space="0" w:color="auto"/>
              <w:left w:val="single" w:sz="6" w:space="0" w:color="auto"/>
              <w:bottom w:val="single" w:sz="6" w:space="0" w:color="auto"/>
              <w:right w:val="single" w:sz="6" w:space="0" w:color="auto"/>
            </w:tcBorders>
          </w:tcPr>
          <w:p w14:paraId="18FFD6D1" w14:textId="77777777" w:rsidR="00952AE1" w:rsidRDefault="00952AE1">
            <w:pPr>
              <w:pStyle w:val="TableText"/>
              <w:framePr w:hSpace="181" w:wrap="notBeside" w:vAnchor="text" w:hAnchor="text" w:xAlign="center" w:y="1"/>
              <w:jc w:val="center"/>
              <w:rPr>
                <w:lang w:val="es-ES"/>
              </w:rPr>
            </w:pPr>
            <w:r>
              <w:rPr>
                <w:lang w:val="es-ES_tradnl"/>
              </w:rPr>
              <w:t>–</w:t>
            </w:r>
            <w:r>
              <w:rPr>
                <w:sz w:val="4"/>
                <w:lang w:val="es-ES_tradnl"/>
              </w:rPr>
              <w:t> </w:t>
            </w:r>
            <w:r>
              <w:rPr>
                <w:lang w:val="es-ES"/>
              </w:rPr>
              <w:t xml:space="preserve">15 </w:t>
            </w:r>
            <w:r>
              <w:rPr>
                <w:lang w:val="en-IE"/>
              </w:rPr>
              <w:t>to</w:t>
            </w:r>
            <w:r>
              <w:rPr>
                <w:lang w:val="es-ES"/>
              </w:rPr>
              <w:t xml:space="preserve"> </w:t>
            </w:r>
            <w:r>
              <w:rPr>
                <w:lang w:val="es-ES_tradnl"/>
              </w:rPr>
              <w:t>–</w:t>
            </w:r>
            <w:r>
              <w:rPr>
                <w:sz w:val="4"/>
                <w:lang w:val="es-ES_tradnl"/>
              </w:rPr>
              <w:t> </w:t>
            </w:r>
            <w:r>
              <w:rPr>
                <w:lang w:val="es-ES"/>
              </w:rPr>
              <w:t>50</w:t>
            </w:r>
          </w:p>
        </w:tc>
      </w:tr>
      <w:tr w:rsidR="00952AE1" w14:paraId="135662A9" w14:textId="77777777">
        <w:trPr>
          <w:cantSplit/>
          <w:jc w:val="center"/>
        </w:trPr>
        <w:tc>
          <w:tcPr>
            <w:tcW w:w="3686" w:type="dxa"/>
            <w:tcBorders>
              <w:top w:val="single" w:sz="6" w:space="0" w:color="auto"/>
              <w:left w:val="single" w:sz="6" w:space="0" w:color="auto"/>
              <w:bottom w:val="single" w:sz="6" w:space="0" w:color="auto"/>
              <w:right w:val="single" w:sz="6" w:space="0" w:color="auto"/>
            </w:tcBorders>
          </w:tcPr>
          <w:p w14:paraId="3224B084" w14:textId="77777777" w:rsidR="00952AE1" w:rsidRDefault="00952AE1">
            <w:pPr>
              <w:pStyle w:val="TableText"/>
              <w:framePr w:hSpace="181" w:wrap="notBeside" w:vAnchor="text" w:hAnchor="text" w:xAlign="center" w:y="1"/>
              <w:jc w:val="center"/>
              <w:rPr>
                <w:lang w:val="es-ES"/>
              </w:rPr>
            </w:pPr>
            <w:r>
              <w:rPr>
                <w:lang w:val="es-ES"/>
              </w:rPr>
              <w:t>125-425</w:t>
            </w:r>
          </w:p>
        </w:tc>
        <w:tc>
          <w:tcPr>
            <w:tcW w:w="3686" w:type="dxa"/>
            <w:tcBorders>
              <w:top w:val="single" w:sz="6" w:space="0" w:color="auto"/>
              <w:left w:val="single" w:sz="6" w:space="0" w:color="auto"/>
              <w:bottom w:val="single" w:sz="6" w:space="0" w:color="auto"/>
              <w:right w:val="single" w:sz="6" w:space="0" w:color="auto"/>
            </w:tcBorders>
          </w:tcPr>
          <w:p w14:paraId="4494964A" w14:textId="77777777" w:rsidR="00952AE1" w:rsidRDefault="00952AE1">
            <w:pPr>
              <w:pStyle w:val="TableText"/>
              <w:framePr w:hSpace="181" w:wrap="notBeside" w:vAnchor="text" w:hAnchor="text" w:xAlign="center" w:y="1"/>
              <w:jc w:val="center"/>
              <w:rPr>
                <w:lang w:val="es-ES"/>
              </w:rPr>
            </w:pPr>
            <w:r>
              <w:rPr>
                <w:lang w:val="es-ES_tradnl"/>
              </w:rPr>
              <w:t>–</w:t>
            </w:r>
            <w:r>
              <w:rPr>
                <w:sz w:val="4"/>
                <w:lang w:val="es-ES_tradnl"/>
              </w:rPr>
              <w:t> </w:t>
            </w:r>
            <w:r>
              <w:rPr>
                <w:lang w:val="es-ES"/>
              </w:rPr>
              <w:t>50</w:t>
            </w:r>
          </w:p>
        </w:tc>
      </w:tr>
      <w:tr w:rsidR="00952AE1" w14:paraId="18DA7C92" w14:textId="77777777">
        <w:trPr>
          <w:cantSplit/>
          <w:jc w:val="center"/>
        </w:trPr>
        <w:tc>
          <w:tcPr>
            <w:tcW w:w="3686" w:type="dxa"/>
            <w:tcBorders>
              <w:top w:val="single" w:sz="6" w:space="0" w:color="auto"/>
              <w:left w:val="single" w:sz="6" w:space="0" w:color="auto"/>
              <w:bottom w:val="single" w:sz="6" w:space="0" w:color="auto"/>
              <w:right w:val="single" w:sz="6" w:space="0" w:color="auto"/>
            </w:tcBorders>
          </w:tcPr>
          <w:p w14:paraId="7413B5B3" w14:textId="77777777" w:rsidR="00952AE1" w:rsidRDefault="00952AE1">
            <w:pPr>
              <w:pStyle w:val="TableText"/>
              <w:framePr w:hSpace="181" w:wrap="notBeside" w:vAnchor="text" w:hAnchor="text" w:xAlign="center" w:y="1"/>
              <w:jc w:val="center"/>
              <w:rPr>
                <w:lang w:val="es-ES"/>
              </w:rPr>
            </w:pPr>
            <w:r>
              <w:rPr>
                <w:lang w:val="es-ES"/>
              </w:rPr>
              <w:t>425-1 500</w:t>
            </w:r>
          </w:p>
        </w:tc>
        <w:tc>
          <w:tcPr>
            <w:tcW w:w="3686" w:type="dxa"/>
            <w:tcBorders>
              <w:top w:val="single" w:sz="6" w:space="0" w:color="auto"/>
              <w:left w:val="single" w:sz="6" w:space="0" w:color="auto"/>
              <w:bottom w:val="single" w:sz="6" w:space="0" w:color="auto"/>
              <w:right w:val="single" w:sz="6" w:space="0" w:color="auto"/>
            </w:tcBorders>
          </w:tcPr>
          <w:p w14:paraId="332E78BB" w14:textId="77777777" w:rsidR="00952AE1" w:rsidRDefault="00952AE1">
            <w:pPr>
              <w:pStyle w:val="TableText"/>
              <w:framePr w:hSpace="181" w:wrap="notBeside" w:vAnchor="text" w:hAnchor="text" w:xAlign="center" w:y="1"/>
              <w:jc w:val="center"/>
              <w:rPr>
                <w:lang w:val="es-ES"/>
              </w:rPr>
            </w:pPr>
            <w:r>
              <w:rPr>
                <w:lang w:val="es-ES_tradnl"/>
              </w:rPr>
              <w:t>–</w:t>
            </w:r>
            <w:r>
              <w:rPr>
                <w:sz w:val="4"/>
                <w:lang w:val="es-ES_tradnl"/>
              </w:rPr>
              <w:t> </w:t>
            </w:r>
            <w:r>
              <w:rPr>
                <w:lang w:val="es-ES"/>
              </w:rPr>
              <w:t xml:space="preserve">50 </w:t>
            </w:r>
            <w:r>
              <w:rPr>
                <w:lang w:val="en-IE"/>
              </w:rPr>
              <w:t>to</w:t>
            </w:r>
            <w:r>
              <w:rPr>
                <w:lang w:val="es-ES"/>
              </w:rPr>
              <w:t xml:space="preserve"> </w:t>
            </w:r>
            <w:r>
              <w:rPr>
                <w:lang w:val="es-ES_tradnl"/>
              </w:rPr>
              <w:t>–</w:t>
            </w:r>
            <w:r>
              <w:rPr>
                <w:sz w:val="4"/>
                <w:lang w:val="es-ES_tradnl"/>
              </w:rPr>
              <w:t> </w:t>
            </w:r>
            <w:r>
              <w:rPr>
                <w:lang w:val="es-ES"/>
              </w:rPr>
              <w:t>65</w:t>
            </w:r>
          </w:p>
        </w:tc>
      </w:tr>
      <w:tr w:rsidR="00952AE1" w14:paraId="534A4F72" w14:textId="77777777">
        <w:trPr>
          <w:cantSplit/>
          <w:jc w:val="center"/>
        </w:trPr>
        <w:tc>
          <w:tcPr>
            <w:tcW w:w="3686" w:type="dxa"/>
            <w:tcBorders>
              <w:top w:val="single" w:sz="6" w:space="0" w:color="auto"/>
              <w:left w:val="single" w:sz="6" w:space="0" w:color="auto"/>
              <w:bottom w:val="single" w:sz="6" w:space="0" w:color="auto"/>
              <w:right w:val="single" w:sz="6" w:space="0" w:color="auto"/>
            </w:tcBorders>
          </w:tcPr>
          <w:p w14:paraId="10E9B054" w14:textId="77777777" w:rsidR="00952AE1" w:rsidRDefault="00952AE1">
            <w:pPr>
              <w:pStyle w:val="TableText"/>
              <w:framePr w:hSpace="181" w:wrap="notBeside" w:vAnchor="text" w:hAnchor="text" w:xAlign="center" w:y="1"/>
              <w:jc w:val="center"/>
              <w:rPr>
                <w:lang w:val="es-ES"/>
              </w:rPr>
            </w:pPr>
            <w:r>
              <w:rPr>
                <w:lang w:val="es-ES"/>
              </w:rPr>
              <w:t>1 500-36 000</w:t>
            </w:r>
          </w:p>
        </w:tc>
        <w:tc>
          <w:tcPr>
            <w:tcW w:w="3686" w:type="dxa"/>
            <w:tcBorders>
              <w:top w:val="single" w:sz="6" w:space="0" w:color="auto"/>
              <w:left w:val="single" w:sz="6" w:space="0" w:color="auto"/>
              <w:bottom w:val="single" w:sz="6" w:space="0" w:color="auto"/>
              <w:right w:val="single" w:sz="6" w:space="0" w:color="auto"/>
            </w:tcBorders>
          </w:tcPr>
          <w:p w14:paraId="701E3E56" w14:textId="77777777" w:rsidR="00952AE1" w:rsidRDefault="00952AE1">
            <w:pPr>
              <w:pStyle w:val="TableText"/>
              <w:framePr w:hSpace="181" w:wrap="notBeside" w:vAnchor="text" w:hAnchor="text" w:xAlign="center" w:y="1"/>
              <w:jc w:val="center"/>
              <w:rPr>
                <w:lang w:val="es-ES"/>
              </w:rPr>
            </w:pPr>
            <w:r>
              <w:rPr>
                <w:lang w:val="es-ES_tradnl"/>
              </w:rPr>
              <w:t>–</w:t>
            </w:r>
            <w:r>
              <w:rPr>
                <w:sz w:val="4"/>
                <w:lang w:val="es-ES_tradnl"/>
              </w:rPr>
              <w:t> </w:t>
            </w:r>
            <w:r>
              <w:rPr>
                <w:lang w:val="es-ES"/>
              </w:rPr>
              <w:t>65</w:t>
            </w:r>
          </w:p>
        </w:tc>
      </w:tr>
    </w:tbl>
    <w:p w14:paraId="4424194C" w14:textId="4BF3BC8F" w:rsidR="00EB6659" w:rsidRPr="004074C8" w:rsidRDefault="00EB6659" w:rsidP="00321C1E">
      <w:pPr>
        <w:pStyle w:val="Heading3"/>
      </w:pPr>
      <w:r w:rsidRPr="00D17E38">
        <w:lastRenderedPageBreak/>
        <w:t>ETSI</w:t>
      </w:r>
      <w:r w:rsidRPr="004074C8">
        <w:t xml:space="preserve"> EN 301 681</w:t>
      </w:r>
    </w:p>
    <w:p w14:paraId="595EBF89" w14:textId="61E13373" w:rsidR="00EB6659" w:rsidRDefault="00EB6659" w:rsidP="00EB6659">
      <w:r w:rsidRPr="00EB6659">
        <w:t>ETSI EN 301 681 harmonized standard specifies require</w:t>
      </w:r>
      <w:r>
        <w:t xml:space="preserve">ments for the protection of </w:t>
      </w:r>
      <w:proofErr w:type="spellStart"/>
      <w:r>
        <w:t>radiastronomy</w:t>
      </w:r>
      <w:proofErr w:type="spellEnd"/>
      <w:r>
        <w:t xml:space="preserve"> bands</w:t>
      </w:r>
      <w:r w:rsidR="000F7C80">
        <w:t>. In section 4.2.6 of the document, the protection of</w:t>
      </w:r>
      <w:r w:rsidR="004B7A12">
        <w:t xml:space="preserve"> </w:t>
      </w:r>
      <w:proofErr w:type="spellStart"/>
      <w:r w:rsidR="004B7A12">
        <w:t>radiastronomy</w:t>
      </w:r>
      <w:proofErr w:type="spellEnd"/>
      <w:r w:rsidR="004B7A12">
        <w:t xml:space="preserve"> services is mandated </w:t>
      </w:r>
      <w:r w:rsidR="00C85D30">
        <w:t>by disabling devices in the vicinity of radioastronomy stations recorded in the ITU master international frequency register.</w:t>
      </w:r>
    </w:p>
    <w:p w14:paraId="6948B3AE" w14:textId="00AB72B8" w:rsidR="009712C1" w:rsidRDefault="009712C1" w:rsidP="00EB6659">
      <w:r>
        <w:t>Requirement</w:t>
      </w:r>
      <w:r w:rsidR="00D4474C">
        <w:t xml:space="preserve">s are also set out for </w:t>
      </w:r>
      <w:r w:rsidR="003C68AB">
        <w:t>the activation of this disable function:</w:t>
      </w:r>
    </w:p>
    <w:p w14:paraId="3654D5DD" w14:textId="21E93D5C" w:rsidR="00540B64" w:rsidRDefault="00540B64" w:rsidP="00EB6659">
      <w:r>
        <w:t>“An MES which is in the carrier-on state shall not continue transmissions for a period of time longer than 1s after receipt of a transmission disable command</w:t>
      </w:r>
      <w:r w:rsidR="002012B6">
        <w:t>.”</w:t>
      </w:r>
    </w:p>
    <w:p w14:paraId="52F41DBF" w14:textId="624441BC" w:rsidR="00AC77A0" w:rsidRDefault="00C002AC" w:rsidP="00EB6659">
      <w:r>
        <w:t xml:space="preserve">The </w:t>
      </w:r>
      <w:r w:rsidR="008052A6">
        <w:t>spectrum emission</w:t>
      </w:r>
      <w:r w:rsidR="0023767E">
        <w:t>s when a transmission disable command is issued are dictated by the carrier-off state emissions mandated by the harmonized standard</w:t>
      </w:r>
      <w:r w:rsidR="00A96081">
        <w:t>:</w:t>
      </w:r>
    </w:p>
    <w:p w14:paraId="2752AD5C" w14:textId="201BCB2B" w:rsidR="00AC77A0" w:rsidRDefault="00AC77A0" w:rsidP="00AC77A0">
      <w:pPr>
        <w:pStyle w:val="Caption"/>
        <w:keepNext/>
        <w:jc w:val="center"/>
      </w:pPr>
      <w:r>
        <w:t xml:space="preserve">Table </w:t>
      </w:r>
      <w:r>
        <w:fldChar w:fldCharType="begin"/>
      </w:r>
      <w:r>
        <w:instrText xml:space="preserve"> SEQ Table \* ARABIC </w:instrText>
      </w:r>
      <w:r>
        <w:fldChar w:fldCharType="separate"/>
      </w:r>
      <w:r w:rsidR="00004133">
        <w:rPr>
          <w:noProof/>
        </w:rPr>
        <w:t>2</w:t>
      </w:r>
      <w:r>
        <w:rPr>
          <w:noProof/>
        </w:rPr>
        <w:fldChar w:fldCharType="end"/>
      </w:r>
      <w:r>
        <w:t xml:space="preserve"> EN 301 681 Carrier-off state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014"/>
        <w:gridCol w:w="1985"/>
        <w:gridCol w:w="1985"/>
        <w:gridCol w:w="1985"/>
      </w:tblGrid>
      <w:tr w:rsidR="00AC77A0" w14:paraId="5BCE9342" w14:textId="77777777" w:rsidTr="00AC77A0">
        <w:trPr>
          <w:trHeight w:val="412"/>
          <w:jc w:val="center"/>
        </w:trPr>
        <w:tc>
          <w:tcPr>
            <w:tcW w:w="2014" w:type="dxa"/>
          </w:tcPr>
          <w:p w14:paraId="57C31CB9" w14:textId="77777777" w:rsidR="00AC77A0" w:rsidRDefault="00AC77A0">
            <w:pPr>
              <w:pStyle w:val="TableParagraph"/>
              <w:spacing w:line="201" w:lineRule="exact"/>
              <w:ind w:left="20"/>
              <w:rPr>
                <w:b/>
                <w:sz w:val="18"/>
              </w:rPr>
            </w:pPr>
            <w:r>
              <w:rPr>
                <w:b/>
                <w:spacing w:val="-2"/>
                <w:sz w:val="18"/>
              </w:rPr>
              <w:t>Frequency</w:t>
            </w:r>
          </w:p>
          <w:p w14:paraId="7331DC1E" w14:textId="77777777" w:rsidR="00AC77A0" w:rsidRDefault="00AC77A0">
            <w:pPr>
              <w:pStyle w:val="TableParagraph"/>
              <w:spacing w:line="191" w:lineRule="exact"/>
              <w:ind w:left="20" w:right="6"/>
              <w:rPr>
                <w:b/>
                <w:sz w:val="18"/>
              </w:rPr>
            </w:pPr>
            <w:r>
              <w:rPr>
                <w:b/>
                <w:spacing w:val="-2"/>
                <w:sz w:val="18"/>
              </w:rPr>
              <w:t>(MHz)</w:t>
            </w:r>
          </w:p>
        </w:tc>
        <w:tc>
          <w:tcPr>
            <w:tcW w:w="1985" w:type="dxa"/>
          </w:tcPr>
          <w:p w14:paraId="5AD64EDA" w14:textId="77777777" w:rsidR="00AC77A0" w:rsidRDefault="00AC77A0">
            <w:pPr>
              <w:pStyle w:val="TableParagraph"/>
              <w:spacing w:line="201" w:lineRule="exact"/>
              <w:ind w:left="45" w:right="37"/>
              <w:rPr>
                <w:b/>
                <w:sz w:val="18"/>
              </w:rPr>
            </w:pPr>
            <w:r>
              <w:rPr>
                <w:b/>
                <w:spacing w:val="-4"/>
                <w:sz w:val="18"/>
              </w:rPr>
              <w:t>EIRP</w:t>
            </w:r>
          </w:p>
          <w:p w14:paraId="6A9BE705" w14:textId="77777777" w:rsidR="00AC77A0" w:rsidRDefault="00AC77A0">
            <w:pPr>
              <w:pStyle w:val="TableParagraph"/>
              <w:spacing w:line="191" w:lineRule="exact"/>
              <w:ind w:left="45" w:right="37"/>
              <w:rPr>
                <w:b/>
                <w:sz w:val="18"/>
              </w:rPr>
            </w:pPr>
            <w:r>
              <w:rPr>
                <w:b/>
                <w:spacing w:val="-2"/>
                <w:sz w:val="18"/>
              </w:rPr>
              <w:t>(</w:t>
            </w:r>
            <w:proofErr w:type="spellStart"/>
            <w:r>
              <w:rPr>
                <w:b/>
                <w:spacing w:val="-2"/>
                <w:sz w:val="18"/>
              </w:rPr>
              <w:t>dBW</w:t>
            </w:r>
            <w:proofErr w:type="spellEnd"/>
            <w:r>
              <w:rPr>
                <w:b/>
                <w:spacing w:val="-2"/>
                <w:sz w:val="18"/>
              </w:rPr>
              <w:t>)</w:t>
            </w:r>
          </w:p>
        </w:tc>
        <w:tc>
          <w:tcPr>
            <w:tcW w:w="1985" w:type="dxa"/>
          </w:tcPr>
          <w:p w14:paraId="79FAA53F" w14:textId="77777777" w:rsidR="00AC77A0" w:rsidRDefault="00AC77A0">
            <w:pPr>
              <w:pStyle w:val="TableParagraph"/>
              <w:spacing w:line="201" w:lineRule="exact"/>
              <w:ind w:left="50" w:right="37"/>
              <w:rPr>
                <w:b/>
                <w:sz w:val="18"/>
              </w:rPr>
            </w:pPr>
            <w:r>
              <w:rPr>
                <w:b/>
                <w:spacing w:val="-2"/>
                <w:sz w:val="18"/>
              </w:rPr>
              <w:t>Measurement</w:t>
            </w:r>
          </w:p>
          <w:p w14:paraId="1FA25A73" w14:textId="77777777" w:rsidR="00AC77A0" w:rsidRDefault="00AC77A0">
            <w:pPr>
              <w:pStyle w:val="TableParagraph"/>
              <w:spacing w:line="191" w:lineRule="exact"/>
              <w:ind w:left="47" w:right="37"/>
              <w:rPr>
                <w:b/>
                <w:sz w:val="18"/>
              </w:rPr>
            </w:pPr>
            <w:r>
              <w:rPr>
                <w:b/>
                <w:spacing w:val="-2"/>
                <w:sz w:val="18"/>
              </w:rPr>
              <w:t>bandwidth</w:t>
            </w:r>
          </w:p>
        </w:tc>
        <w:tc>
          <w:tcPr>
            <w:tcW w:w="1985" w:type="dxa"/>
          </w:tcPr>
          <w:p w14:paraId="3274AB4B" w14:textId="77777777" w:rsidR="00AC77A0" w:rsidRDefault="00AC77A0">
            <w:pPr>
              <w:pStyle w:val="TableParagraph"/>
              <w:spacing w:line="201" w:lineRule="exact"/>
              <w:ind w:left="50" w:right="37"/>
              <w:rPr>
                <w:b/>
                <w:sz w:val="18"/>
              </w:rPr>
            </w:pPr>
            <w:r>
              <w:rPr>
                <w:b/>
                <w:spacing w:val="-2"/>
                <w:sz w:val="18"/>
              </w:rPr>
              <w:t>Measurement</w:t>
            </w:r>
          </w:p>
          <w:p w14:paraId="40DC3AF5" w14:textId="77777777" w:rsidR="00AC77A0" w:rsidRDefault="00AC77A0">
            <w:pPr>
              <w:pStyle w:val="TableParagraph"/>
              <w:spacing w:line="191" w:lineRule="exact"/>
              <w:ind w:left="47" w:right="37"/>
              <w:rPr>
                <w:b/>
                <w:sz w:val="18"/>
              </w:rPr>
            </w:pPr>
            <w:r>
              <w:rPr>
                <w:b/>
                <w:spacing w:val="-2"/>
                <w:sz w:val="18"/>
              </w:rPr>
              <w:t>method</w:t>
            </w:r>
          </w:p>
        </w:tc>
      </w:tr>
      <w:tr w:rsidR="00AC77A0" w14:paraId="4EF8FA6F" w14:textId="77777777" w:rsidTr="00AC77A0">
        <w:trPr>
          <w:trHeight w:val="208"/>
          <w:jc w:val="center"/>
        </w:trPr>
        <w:tc>
          <w:tcPr>
            <w:tcW w:w="2014" w:type="dxa"/>
          </w:tcPr>
          <w:p w14:paraId="1EF4250B" w14:textId="77777777" w:rsidR="00AC77A0" w:rsidRDefault="00AC77A0">
            <w:pPr>
              <w:pStyle w:val="TableParagraph"/>
              <w:spacing w:before="1" w:line="187" w:lineRule="exact"/>
              <w:ind w:left="20" w:right="5"/>
              <w:rPr>
                <w:sz w:val="18"/>
              </w:rPr>
            </w:pPr>
            <w:r>
              <w:rPr>
                <w:sz w:val="18"/>
              </w:rPr>
              <w:t>30 to</w:t>
            </w:r>
            <w:r>
              <w:rPr>
                <w:spacing w:val="-2"/>
                <w:sz w:val="18"/>
              </w:rPr>
              <w:t xml:space="preserve"> </w:t>
            </w:r>
            <w:r>
              <w:rPr>
                <w:sz w:val="18"/>
              </w:rPr>
              <w:t xml:space="preserve">1 </w:t>
            </w:r>
            <w:r>
              <w:rPr>
                <w:spacing w:val="-5"/>
                <w:sz w:val="18"/>
              </w:rPr>
              <w:t>000</w:t>
            </w:r>
          </w:p>
        </w:tc>
        <w:tc>
          <w:tcPr>
            <w:tcW w:w="1985" w:type="dxa"/>
          </w:tcPr>
          <w:p w14:paraId="173DD736" w14:textId="77777777" w:rsidR="00AC77A0" w:rsidRDefault="00AC77A0">
            <w:pPr>
              <w:pStyle w:val="TableParagraph"/>
              <w:spacing w:before="1" w:line="187" w:lineRule="exact"/>
              <w:ind w:left="14" w:right="50"/>
              <w:rPr>
                <w:sz w:val="18"/>
              </w:rPr>
            </w:pPr>
            <w:r>
              <w:rPr>
                <w:sz w:val="18"/>
              </w:rPr>
              <w:t>-</w:t>
            </w:r>
            <w:r>
              <w:rPr>
                <w:spacing w:val="-5"/>
                <w:sz w:val="18"/>
              </w:rPr>
              <w:t>87</w:t>
            </w:r>
          </w:p>
        </w:tc>
        <w:tc>
          <w:tcPr>
            <w:tcW w:w="1985" w:type="dxa"/>
          </w:tcPr>
          <w:p w14:paraId="3A75FFA5" w14:textId="77777777" w:rsidR="00AC77A0" w:rsidRDefault="00AC77A0">
            <w:pPr>
              <w:pStyle w:val="TableParagraph"/>
              <w:spacing w:before="1" w:line="187" w:lineRule="exact"/>
              <w:ind w:left="47" w:right="37"/>
              <w:rPr>
                <w:sz w:val="18"/>
              </w:rPr>
            </w:pPr>
            <w:r>
              <w:rPr>
                <w:sz w:val="18"/>
              </w:rPr>
              <w:t>100</w:t>
            </w:r>
            <w:r>
              <w:rPr>
                <w:spacing w:val="-2"/>
                <w:sz w:val="18"/>
              </w:rPr>
              <w:t xml:space="preserve"> </w:t>
            </w:r>
            <w:r>
              <w:rPr>
                <w:spacing w:val="-5"/>
                <w:sz w:val="18"/>
              </w:rPr>
              <w:t>kHz</w:t>
            </w:r>
          </w:p>
        </w:tc>
        <w:tc>
          <w:tcPr>
            <w:tcW w:w="1985" w:type="dxa"/>
          </w:tcPr>
          <w:p w14:paraId="5BDD2C4A" w14:textId="77777777" w:rsidR="00AC77A0" w:rsidRDefault="00AC77A0">
            <w:pPr>
              <w:pStyle w:val="TableParagraph"/>
              <w:spacing w:before="1" w:line="187" w:lineRule="exact"/>
              <w:ind w:left="46" w:right="37"/>
              <w:rPr>
                <w:sz w:val="18"/>
              </w:rPr>
            </w:pPr>
            <w:r>
              <w:rPr>
                <w:sz w:val="18"/>
              </w:rPr>
              <w:t>peak</w:t>
            </w:r>
            <w:r>
              <w:rPr>
                <w:spacing w:val="-3"/>
                <w:sz w:val="18"/>
              </w:rPr>
              <w:t xml:space="preserve"> </w:t>
            </w:r>
            <w:r>
              <w:rPr>
                <w:spacing w:val="-4"/>
                <w:sz w:val="18"/>
              </w:rPr>
              <w:t>hold</w:t>
            </w:r>
          </w:p>
        </w:tc>
      </w:tr>
      <w:tr w:rsidR="00AC77A0" w14:paraId="677ECC4D" w14:textId="77777777" w:rsidTr="00AC77A0">
        <w:trPr>
          <w:trHeight w:val="205"/>
          <w:jc w:val="center"/>
        </w:trPr>
        <w:tc>
          <w:tcPr>
            <w:tcW w:w="2014" w:type="dxa"/>
          </w:tcPr>
          <w:p w14:paraId="40AC4F36" w14:textId="77777777" w:rsidR="00AC77A0" w:rsidRDefault="00AC77A0">
            <w:pPr>
              <w:pStyle w:val="TableParagraph"/>
              <w:spacing w:line="186" w:lineRule="exact"/>
              <w:ind w:left="20" w:right="6"/>
              <w:rPr>
                <w:sz w:val="18"/>
              </w:rPr>
            </w:pPr>
            <w:r>
              <w:rPr>
                <w:sz w:val="18"/>
              </w:rPr>
              <w:t>1</w:t>
            </w:r>
            <w:r>
              <w:rPr>
                <w:spacing w:val="1"/>
                <w:sz w:val="18"/>
              </w:rPr>
              <w:t xml:space="preserve"> </w:t>
            </w:r>
            <w:r>
              <w:rPr>
                <w:sz w:val="18"/>
              </w:rPr>
              <w:t>000</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525</w:t>
            </w:r>
          </w:p>
        </w:tc>
        <w:tc>
          <w:tcPr>
            <w:tcW w:w="1985" w:type="dxa"/>
          </w:tcPr>
          <w:p w14:paraId="2D67B11F" w14:textId="77777777" w:rsidR="00AC77A0" w:rsidRDefault="00AC77A0">
            <w:pPr>
              <w:pStyle w:val="TableParagraph"/>
              <w:spacing w:line="186" w:lineRule="exact"/>
              <w:ind w:left="14" w:right="50"/>
              <w:rPr>
                <w:sz w:val="18"/>
              </w:rPr>
            </w:pPr>
            <w:r>
              <w:rPr>
                <w:sz w:val="18"/>
              </w:rPr>
              <w:t>-</w:t>
            </w:r>
            <w:r>
              <w:rPr>
                <w:spacing w:val="-5"/>
                <w:sz w:val="18"/>
              </w:rPr>
              <w:t>87</w:t>
            </w:r>
          </w:p>
        </w:tc>
        <w:tc>
          <w:tcPr>
            <w:tcW w:w="1985" w:type="dxa"/>
          </w:tcPr>
          <w:p w14:paraId="7E02B851" w14:textId="77777777" w:rsidR="00AC77A0" w:rsidRDefault="00AC77A0">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4965F542" w14:textId="77777777" w:rsidR="00AC77A0" w:rsidRDefault="00AC77A0">
            <w:pPr>
              <w:pStyle w:val="TableParagraph"/>
              <w:spacing w:line="186" w:lineRule="exact"/>
              <w:ind w:left="47" w:right="37"/>
              <w:rPr>
                <w:sz w:val="18"/>
              </w:rPr>
            </w:pPr>
            <w:r>
              <w:rPr>
                <w:sz w:val="18"/>
              </w:rPr>
              <w:t>peak</w:t>
            </w:r>
            <w:r>
              <w:rPr>
                <w:spacing w:val="-3"/>
                <w:sz w:val="18"/>
              </w:rPr>
              <w:t xml:space="preserve"> </w:t>
            </w:r>
            <w:r>
              <w:rPr>
                <w:spacing w:val="-4"/>
                <w:sz w:val="18"/>
              </w:rPr>
              <w:t>hold</w:t>
            </w:r>
          </w:p>
        </w:tc>
      </w:tr>
      <w:tr w:rsidR="00AC77A0" w14:paraId="7B699674" w14:textId="77777777" w:rsidTr="00AC77A0">
        <w:trPr>
          <w:trHeight w:val="414"/>
          <w:jc w:val="center"/>
        </w:trPr>
        <w:tc>
          <w:tcPr>
            <w:tcW w:w="2014" w:type="dxa"/>
          </w:tcPr>
          <w:p w14:paraId="06709253" w14:textId="77777777" w:rsidR="00AC77A0" w:rsidRDefault="00AC77A0">
            <w:pPr>
              <w:pStyle w:val="TableParagraph"/>
              <w:spacing w:before="1"/>
              <w:ind w:left="20" w:right="7"/>
              <w:rPr>
                <w:sz w:val="18"/>
              </w:rPr>
            </w:pPr>
            <w:r>
              <w:rPr>
                <w:sz w:val="18"/>
              </w:rPr>
              <w:t>1 525</w:t>
            </w:r>
            <w:r>
              <w:rPr>
                <w:spacing w:val="-2"/>
                <w:sz w:val="18"/>
              </w:rPr>
              <w:t xml:space="preserve"> </w:t>
            </w:r>
            <w:r>
              <w:rPr>
                <w:sz w:val="18"/>
              </w:rPr>
              <w:t>to 1</w:t>
            </w:r>
            <w:r>
              <w:rPr>
                <w:spacing w:val="-2"/>
                <w:sz w:val="18"/>
              </w:rPr>
              <w:t xml:space="preserve"> </w:t>
            </w:r>
            <w:r>
              <w:rPr>
                <w:spacing w:val="-5"/>
                <w:sz w:val="18"/>
              </w:rPr>
              <w:t>559</w:t>
            </w:r>
          </w:p>
        </w:tc>
        <w:tc>
          <w:tcPr>
            <w:tcW w:w="1985" w:type="dxa"/>
          </w:tcPr>
          <w:p w14:paraId="27AA204B" w14:textId="77777777" w:rsidR="00AC77A0" w:rsidRDefault="00AC77A0">
            <w:pPr>
              <w:pStyle w:val="TableParagraph"/>
              <w:spacing w:before="1" w:line="207" w:lineRule="exact"/>
              <w:ind w:left="14" w:right="51"/>
              <w:rPr>
                <w:sz w:val="18"/>
              </w:rPr>
            </w:pPr>
            <w:r>
              <w:rPr>
                <w:sz w:val="18"/>
              </w:rPr>
              <w:t>-</w:t>
            </w:r>
            <w:r>
              <w:rPr>
                <w:spacing w:val="-5"/>
                <w:sz w:val="18"/>
              </w:rPr>
              <w:t>97</w:t>
            </w:r>
          </w:p>
          <w:p w14:paraId="44A5A22E" w14:textId="77777777" w:rsidR="00AC77A0" w:rsidRDefault="00AC77A0">
            <w:pPr>
              <w:pStyle w:val="TableParagraph"/>
              <w:spacing w:line="187" w:lineRule="exact"/>
              <w:ind w:left="46" w:right="37"/>
              <w:rPr>
                <w:sz w:val="18"/>
              </w:rPr>
            </w:pPr>
            <w:r>
              <w:rPr>
                <w:sz w:val="18"/>
              </w:rPr>
              <w:t>(see</w:t>
            </w:r>
            <w:r>
              <w:rPr>
                <w:spacing w:val="-2"/>
                <w:sz w:val="18"/>
              </w:rPr>
              <w:t xml:space="preserve"> </w:t>
            </w:r>
            <w:r>
              <w:rPr>
                <w:sz w:val="18"/>
              </w:rPr>
              <w:t>note</w:t>
            </w:r>
            <w:r>
              <w:rPr>
                <w:spacing w:val="-2"/>
                <w:sz w:val="18"/>
              </w:rPr>
              <w:t xml:space="preserve"> </w:t>
            </w:r>
            <w:r>
              <w:rPr>
                <w:spacing w:val="-5"/>
                <w:sz w:val="18"/>
              </w:rPr>
              <w:t>3)</w:t>
            </w:r>
          </w:p>
        </w:tc>
        <w:tc>
          <w:tcPr>
            <w:tcW w:w="1985" w:type="dxa"/>
          </w:tcPr>
          <w:p w14:paraId="214B9CC0" w14:textId="77777777" w:rsidR="00AC77A0" w:rsidRDefault="00AC77A0">
            <w:pPr>
              <w:pStyle w:val="TableParagraph"/>
              <w:spacing w:before="1"/>
              <w:ind w:left="46" w:right="37"/>
              <w:rPr>
                <w:sz w:val="18"/>
              </w:rPr>
            </w:pPr>
            <w:r>
              <w:rPr>
                <w:sz w:val="18"/>
              </w:rPr>
              <w:t>100</w:t>
            </w:r>
            <w:r>
              <w:rPr>
                <w:spacing w:val="-2"/>
                <w:sz w:val="18"/>
              </w:rPr>
              <w:t xml:space="preserve"> </w:t>
            </w:r>
            <w:r>
              <w:rPr>
                <w:spacing w:val="-5"/>
                <w:sz w:val="18"/>
              </w:rPr>
              <w:t>kHz</w:t>
            </w:r>
          </w:p>
        </w:tc>
        <w:tc>
          <w:tcPr>
            <w:tcW w:w="1985" w:type="dxa"/>
          </w:tcPr>
          <w:p w14:paraId="6CC923A6" w14:textId="77777777" w:rsidR="00AC77A0" w:rsidRDefault="00AC77A0">
            <w:pPr>
              <w:pStyle w:val="TableParagraph"/>
              <w:spacing w:before="1"/>
              <w:ind w:left="47" w:right="37"/>
              <w:rPr>
                <w:sz w:val="18"/>
              </w:rPr>
            </w:pPr>
            <w:r>
              <w:rPr>
                <w:spacing w:val="-2"/>
                <w:sz w:val="18"/>
              </w:rPr>
              <w:t>average</w:t>
            </w:r>
          </w:p>
        </w:tc>
      </w:tr>
      <w:tr w:rsidR="00AC77A0" w14:paraId="66ADEBEC" w14:textId="77777777" w:rsidTr="00AC77A0">
        <w:trPr>
          <w:trHeight w:val="414"/>
          <w:jc w:val="center"/>
        </w:trPr>
        <w:tc>
          <w:tcPr>
            <w:tcW w:w="2014" w:type="dxa"/>
          </w:tcPr>
          <w:p w14:paraId="1CBDE9C9" w14:textId="77777777" w:rsidR="00AC77A0" w:rsidRDefault="00AC77A0">
            <w:pPr>
              <w:pStyle w:val="TableParagraph"/>
              <w:spacing w:line="206" w:lineRule="exact"/>
              <w:ind w:left="20" w:right="6"/>
              <w:rPr>
                <w:sz w:val="18"/>
              </w:rPr>
            </w:pPr>
            <w:r>
              <w:rPr>
                <w:sz w:val="18"/>
              </w:rPr>
              <w:t>1</w:t>
            </w:r>
            <w:r>
              <w:rPr>
                <w:spacing w:val="1"/>
                <w:sz w:val="18"/>
              </w:rPr>
              <w:t xml:space="preserve"> </w:t>
            </w:r>
            <w:r>
              <w:rPr>
                <w:sz w:val="18"/>
              </w:rPr>
              <w:t>559</w:t>
            </w:r>
            <w:r>
              <w:rPr>
                <w:spacing w:val="-2"/>
                <w:sz w:val="18"/>
              </w:rPr>
              <w:t xml:space="preserve"> </w:t>
            </w:r>
            <w:r>
              <w:rPr>
                <w:sz w:val="18"/>
              </w:rPr>
              <w:t>to</w:t>
            </w:r>
            <w:r>
              <w:rPr>
                <w:spacing w:val="1"/>
                <w:sz w:val="18"/>
              </w:rPr>
              <w:t xml:space="preserve"> </w:t>
            </w:r>
            <w:r>
              <w:rPr>
                <w:sz w:val="18"/>
              </w:rPr>
              <w:t>1</w:t>
            </w:r>
            <w:r>
              <w:rPr>
                <w:spacing w:val="-2"/>
                <w:sz w:val="18"/>
              </w:rPr>
              <w:t xml:space="preserve"> </w:t>
            </w:r>
            <w:r>
              <w:rPr>
                <w:spacing w:val="-5"/>
                <w:sz w:val="18"/>
              </w:rPr>
              <w:t>610</w:t>
            </w:r>
          </w:p>
        </w:tc>
        <w:tc>
          <w:tcPr>
            <w:tcW w:w="1985" w:type="dxa"/>
          </w:tcPr>
          <w:p w14:paraId="3CBE916C" w14:textId="77777777" w:rsidR="00AC77A0" w:rsidRDefault="00AC77A0">
            <w:pPr>
              <w:pStyle w:val="TableParagraph"/>
              <w:spacing w:line="206" w:lineRule="exact"/>
              <w:ind w:left="14" w:right="50"/>
              <w:rPr>
                <w:sz w:val="18"/>
              </w:rPr>
            </w:pPr>
            <w:r>
              <w:rPr>
                <w:sz w:val="18"/>
              </w:rPr>
              <w:t>-</w:t>
            </w:r>
            <w:r>
              <w:rPr>
                <w:spacing w:val="-5"/>
                <w:sz w:val="18"/>
              </w:rPr>
              <w:t>70</w:t>
            </w:r>
          </w:p>
        </w:tc>
        <w:tc>
          <w:tcPr>
            <w:tcW w:w="1985" w:type="dxa"/>
          </w:tcPr>
          <w:p w14:paraId="75DDA80F" w14:textId="77777777" w:rsidR="00AC77A0" w:rsidRDefault="00AC77A0">
            <w:pPr>
              <w:pStyle w:val="TableParagraph"/>
              <w:spacing w:line="206" w:lineRule="exact"/>
              <w:ind w:left="45" w:right="37"/>
              <w:rPr>
                <w:sz w:val="18"/>
              </w:rPr>
            </w:pPr>
            <w:r>
              <w:rPr>
                <w:sz w:val="18"/>
              </w:rPr>
              <w:t>1</w:t>
            </w:r>
            <w:r>
              <w:rPr>
                <w:spacing w:val="1"/>
                <w:sz w:val="18"/>
              </w:rPr>
              <w:t xml:space="preserve"> </w:t>
            </w:r>
            <w:r>
              <w:rPr>
                <w:spacing w:val="-5"/>
                <w:sz w:val="18"/>
              </w:rPr>
              <w:t>MHz</w:t>
            </w:r>
          </w:p>
          <w:p w14:paraId="538540C2" w14:textId="77777777" w:rsidR="00AC77A0" w:rsidRDefault="00AC77A0">
            <w:pPr>
              <w:pStyle w:val="TableParagraph"/>
              <w:spacing w:line="189" w:lineRule="exact"/>
              <w:ind w:left="51" w:right="37"/>
              <w:rPr>
                <w:sz w:val="18"/>
              </w:rPr>
            </w:pPr>
            <w:r>
              <w:rPr>
                <w:sz w:val="18"/>
              </w:rPr>
              <w:t>(see</w:t>
            </w:r>
            <w:r>
              <w:rPr>
                <w:spacing w:val="-2"/>
                <w:sz w:val="18"/>
              </w:rPr>
              <w:t xml:space="preserve"> </w:t>
            </w:r>
            <w:r>
              <w:rPr>
                <w:sz w:val="18"/>
              </w:rPr>
              <w:t>note</w:t>
            </w:r>
            <w:r>
              <w:rPr>
                <w:spacing w:val="-2"/>
                <w:sz w:val="18"/>
              </w:rPr>
              <w:t xml:space="preserve"> </w:t>
            </w:r>
            <w:r>
              <w:rPr>
                <w:spacing w:val="-5"/>
                <w:sz w:val="18"/>
              </w:rPr>
              <w:t>1)</w:t>
            </w:r>
          </w:p>
        </w:tc>
        <w:tc>
          <w:tcPr>
            <w:tcW w:w="1985" w:type="dxa"/>
          </w:tcPr>
          <w:p w14:paraId="3A122F50" w14:textId="77777777" w:rsidR="00AC77A0" w:rsidRDefault="00AC77A0">
            <w:pPr>
              <w:pStyle w:val="TableParagraph"/>
              <w:spacing w:line="206" w:lineRule="exact"/>
              <w:ind w:left="510" w:right="340" w:firstLine="153"/>
              <w:jc w:val="left"/>
              <w:rPr>
                <w:sz w:val="18"/>
              </w:rPr>
            </w:pPr>
            <w:r>
              <w:rPr>
                <w:spacing w:val="-2"/>
                <w:sz w:val="18"/>
              </w:rPr>
              <w:t xml:space="preserve">average </w:t>
            </w:r>
            <w:r>
              <w:rPr>
                <w:sz w:val="18"/>
              </w:rPr>
              <w:t>(see</w:t>
            </w:r>
            <w:r>
              <w:rPr>
                <w:spacing w:val="-15"/>
                <w:sz w:val="18"/>
              </w:rPr>
              <w:t xml:space="preserve"> </w:t>
            </w:r>
            <w:r>
              <w:rPr>
                <w:sz w:val="18"/>
              </w:rPr>
              <w:t>note</w:t>
            </w:r>
            <w:r>
              <w:rPr>
                <w:spacing w:val="-12"/>
                <w:sz w:val="18"/>
              </w:rPr>
              <w:t xml:space="preserve"> </w:t>
            </w:r>
            <w:r>
              <w:rPr>
                <w:sz w:val="18"/>
              </w:rPr>
              <w:t>2)</w:t>
            </w:r>
          </w:p>
        </w:tc>
      </w:tr>
      <w:tr w:rsidR="00AC77A0" w14:paraId="68EE4956" w14:textId="77777777" w:rsidTr="00AC77A0">
        <w:trPr>
          <w:trHeight w:val="205"/>
          <w:jc w:val="center"/>
        </w:trPr>
        <w:tc>
          <w:tcPr>
            <w:tcW w:w="2014" w:type="dxa"/>
          </w:tcPr>
          <w:p w14:paraId="3940B119" w14:textId="77777777" w:rsidR="00AC77A0" w:rsidRDefault="00AC77A0">
            <w:pPr>
              <w:pStyle w:val="TableParagraph"/>
              <w:spacing w:line="186" w:lineRule="exact"/>
              <w:ind w:left="20" w:right="5"/>
              <w:rPr>
                <w:sz w:val="18"/>
              </w:rPr>
            </w:pPr>
            <w:r>
              <w:rPr>
                <w:sz w:val="18"/>
              </w:rPr>
              <w:t>1</w:t>
            </w:r>
            <w:r>
              <w:rPr>
                <w:spacing w:val="-1"/>
                <w:sz w:val="18"/>
              </w:rPr>
              <w:t xml:space="preserve"> </w:t>
            </w:r>
            <w:r>
              <w:rPr>
                <w:sz w:val="18"/>
              </w:rPr>
              <w:t>610</w:t>
            </w:r>
            <w:r>
              <w:rPr>
                <w:spacing w:val="-2"/>
                <w:sz w:val="18"/>
              </w:rPr>
              <w:t xml:space="preserve"> </w:t>
            </w:r>
            <w:r>
              <w:rPr>
                <w:sz w:val="18"/>
              </w:rPr>
              <w:t>to</w:t>
            </w:r>
            <w:r>
              <w:rPr>
                <w:spacing w:val="-1"/>
                <w:sz w:val="18"/>
              </w:rPr>
              <w:t xml:space="preserve"> </w:t>
            </w:r>
            <w:r>
              <w:rPr>
                <w:sz w:val="18"/>
              </w:rPr>
              <w:t xml:space="preserve">12 </w:t>
            </w:r>
            <w:r>
              <w:rPr>
                <w:spacing w:val="-5"/>
                <w:sz w:val="18"/>
              </w:rPr>
              <w:t>750</w:t>
            </w:r>
          </w:p>
        </w:tc>
        <w:tc>
          <w:tcPr>
            <w:tcW w:w="1985" w:type="dxa"/>
          </w:tcPr>
          <w:p w14:paraId="01D6E94C" w14:textId="77777777" w:rsidR="00AC77A0" w:rsidRDefault="00AC77A0">
            <w:pPr>
              <w:pStyle w:val="TableParagraph"/>
              <w:spacing w:line="186" w:lineRule="exact"/>
              <w:ind w:left="14" w:right="50"/>
              <w:rPr>
                <w:sz w:val="18"/>
              </w:rPr>
            </w:pPr>
            <w:r>
              <w:rPr>
                <w:sz w:val="18"/>
              </w:rPr>
              <w:t>-</w:t>
            </w:r>
            <w:r>
              <w:rPr>
                <w:spacing w:val="-5"/>
                <w:sz w:val="18"/>
              </w:rPr>
              <w:t>87</w:t>
            </w:r>
          </w:p>
        </w:tc>
        <w:tc>
          <w:tcPr>
            <w:tcW w:w="1985" w:type="dxa"/>
          </w:tcPr>
          <w:p w14:paraId="2CC0BA97" w14:textId="77777777" w:rsidR="00AC77A0" w:rsidRDefault="00AC77A0">
            <w:pPr>
              <w:pStyle w:val="TableParagraph"/>
              <w:spacing w:line="186" w:lineRule="exact"/>
              <w:ind w:left="47" w:right="37"/>
              <w:rPr>
                <w:sz w:val="18"/>
              </w:rPr>
            </w:pPr>
            <w:r>
              <w:rPr>
                <w:sz w:val="18"/>
              </w:rPr>
              <w:t>100</w:t>
            </w:r>
            <w:r>
              <w:rPr>
                <w:spacing w:val="-2"/>
                <w:sz w:val="18"/>
              </w:rPr>
              <w:t xml:space="preserve"> </w:t>
            </w:r>
            <w:r>
              <w:rPr>
                <w:spacing w:val="-5"/>
                <w:sz w:val="18"/>
              </w:rPr>
              <w:t>kHz</w:t>
            </w:r>
          </w:p>
        </w:tc>
        <w:tc>
          <w:tcPr>
            <w:tcW w:w="1985" w:type="dxa"/>
          </w:tcPr>
          <w:p w14:paraId="78C2EC40" w14:textId="77777777" w:rsidR="00AC77A0" w:rsidRDefault="00AC77A0">
            <w:pPr>
              <w:pStyle w:val="TableParagraph"/>
              <w:spacing w:line="186" w:lineRule="exact"/>
              <w:ind w:left="46" w:right="37"/>
              <w:rPr>
                <w:sz w:val="18"/>
              </w:rPr>
            </w:pPr>
            <w:r>
              <w:rPr>
                <w:sz w:val="18"/>
              </w:rPr>
              <w:t>peak</w:t>
            </w:r>
            <w:r>
              <w:rPr>
                <w:spacing w:val="-3"/>
                <w:sz w:val="18"/>
              </w:rPr>
              <w:t xml:space="preserve"> </w:t>
            </w:r>
            <w:r>
              <w:rPr>
                <w:spacing w:val="-4"/>
                <w:sz w:val="18"/>
              </w:rPr>
              <w:t>hold</w:t>
            </w:r>
          </w:p>
        </w:tc>
      </w:tr>
      <w:tr w:rsidR="00AC77A0" w14:paraId="06331F08" w14:textId="77777777" w:rsidTr="00AC77A0">
        <w:trPr>
          <w:trHeight w:val="1448"/>
          <w:jc w:val="center"/>
        </w:trPr>
        <w:tc>
          <w:tcPr>
            <w:tcW w:w="7969" w:type="dxa"/>
            <w:gridSpan w:val="4"/>
          </w:tcPr>
          <w:p w14:paraId="18804C46" w14:textId="77777777" w:rsidR="00AC77A0" w:rsidRDefault="00AC77A0">
            <w:pPr>
              <w:pStyle w:val="TableParagraph"/>
              <w:ind w:left="880" w:hanging="853"/>
              <w:jc w:val="left"/>
              <w:rPr>
                <w:sz w:val="18"/>
              </w:rPr>
            </w:pPr>
            <w:r>
              <w:rPr>
                <w:sz w:val="18"/>
              </w:rPr>
              <w:t>NOTE</w:t>
            </w:r>
            <w:r>
              <w:rPr>
                <w:spacing w:val="-2"/>
                <w:sz w:val="18"/>
              </w:rPr>
              <w:t xml:space="preserve"> </w:t>
            </w:r>
            <w:r>
              <w:rPr>
                <w:sz w:val="18"/>
              </w:rPr>
              <w:t>1:</w:t>
            </w:r>
            <w:r>
              <w:rPr>
                <w:spacing w:val="80"/>
                <w:sz w:val="18"/>
              </w:rPr>
              <w:t xml:space="preserve"> </w:t>
            </w:r>
            <w:r>
              <w:rPr>
                <w:sz w:val="18"/>
              </w:rPr>
              <w:t>Measurement</w:t>
            </w:r>
            <w:r>
              <w:rPr>
                <w:spacing w:val="-4"/>
                <w:sz w:val="18"/>
              </w:rPr>
              <w:t xml:space="preserve"> </w:t>
            </w:r>
            <w:r>
              <w:rPr>
                <w:sz w:val="18"/>
              </w:rPr>
              <w:t>bandwidths</w:t>
            </w:r>
            <w:r>
              <w:rPr>
                <w:spacing w:val="-4"/>
                <w:sz w:val="18"/>
              </w:rPr>
              <w:t xml:space="preserve"> </w:t>
            </w:r>
            <w:r>
              <w:rPr>
                <w:sz w:val="18"/>
              </w:rPr>
              <w:t>less</w:t>
            </w:r>
            <w:r>
              <w:rPr>
                <w:spacing w:val="-3"/>
                <w:sz w:val="18"/>
              </w:rPr>
              <w:t xml:space="preserve"> </w:t>
            </w:r>
            <w:r>
              <w:rPr>
                <w:sz w:val="18"/>
              </w:rPr>
              <w:t>than</w:t>
            </w:r>
            <w:r>
              <w:rPr>
                <w:spacing w:val="-4"/>
                <w:sz w:val="18"/>
              </w:rPr>
              <w:t xml:space="preserve"> </w:t>
            </w:r>
            <w:r>
              <w:rPr>
                <w:sz w:val="18"/>
              </w:rPr>
              <w:t>1</w:t>
            </w:r>
            <w:r>
              <w:rPr>
                <w:spacing w:val="-2"/>
                <w:sz w:val="18"/>
              </w:rPr>
              <w:t xml:space="preserve"> </w:t>
            </w:r>
            <w:r>
              <w:rPr>
                <w:sz w:val="18"/>
              </w:rPr>
              <w:t>MHz</w:t>
            </w:r>
            <w:r>
              <w:rPr>
                <w:spacing w:val="-3"/>
                <w:sz w:val="18"/>
              </w:rPr>
              <w:t xml:space="preserve"> </w:t>
            </w:r>
            <w:r>
              <w:rPr>
                <w:sz w:val="18"/>
              </w:rPr>
              <w:t>are</w:t>
            </w:r>
            <w:r>
              <w:rPr>
                <w:spacing w:val="-2"/>
                <w:sz w:val="18"/>
              </w:rPr>
              <w:t xml:space="preserve"> </w:t>
            </w:r>
            <w:r>
              <w:rPr>
                <w:sz w:val="18"/>
              </w:rPr>
              <w:t>allowable</w:t>
            </w:r>
            <w:r>
              <w:rPr>
                <w:spacing w:val="-2"/>
                <w:sz w:val="18"/>
              </w:rPr>
              <w:t xml:space="preserve"> </w:t>
            </w:r>
            <w:r>
              <w:rPr>
                <w:sz w:val="18"/>
              </w:rPr>
              <w:t>provided</w:t>
            </w:r>
            <w:r>
              <w:rPr>
                <w:spacing w:val="-2"/>
                <w:sz w:val="18"/>
              </w:rPr>
              <w:t xml:space="preserve"> </w:t>
            </w:r>
            <w:r>
              <w:rPr>
                <w:sz w:val="18"/>
              </w:rPr>
              <w:t>the</w:t>
            </w:r>
            <w:r>
              <w:rPr>
                <w:spacing w:val="-2"/>
                <w:sz w:val="18"/>
              </w:rPr>
              <w:t xml:space="preserve"> </w:t>
            </w:r>
            <w:r>
              <w:rPr>
                <w:sz w:val="18"/>
              </w:rPr>
              <w:t>power</w:t>
            </w:r>
            <w:r>
              <w:rPr>
                <w:spacing w:val="-1"/>
                <w:sz w:val="18"/>
              </w:rPr>
              <w:t xml:space="preserve"> </w:t>
            </w:r>
            <w:r>
              <w:rPr>
                <w:sz w:val="18"/>
              </w:rPr>
              <w:t>in</w:t>
            </w:r>
            <w:r>
              <w:rPr>
                <w:spacing w:val="-4"/>
                <w:sz w:val="18"/>
              </w:rPr>
              <w:t xml:space="preserve"> </w:t>
            </w:r>
            <w:r>
              <w:rPr>
                <w:sz w:val="18"/>
              </w:rPr>
              <w:t xml:space="preserve">the narrower bandwidth is integrated over 1 </w:t>
            </w:r>
            <w:proofErr w:type="spellStart"/>
            <w:r>
              <w:rPr>
                <w:sz w:val="18"/>
              </w:rPr>
              <w:t>MHz.</w:t>
            </w:r>
            <w:proofErr w:type="spellEnd"/>
          </w:p>
          <w:p w14:paraId="0CFADFB7" w14:textId="77777777" w:rsidR="00AC77A0" w:rsidRDefault="00AC77A0">
            <w:pPr>
              <w:pStyle w:val="TableParagraph"/>
              <w:ind w:left="880" w:hanging="853"/>
              <w:jc w:val="left"/>
              <w:rPr>
                <w:sz w:val="18"/>
              </w:rPr>
            </w:pPr>
            <w:r>
              <w:rPr>
                <w:sz w:val="18"/>
              </w:rPr>
              <w:t>NOTE</w:t>
            </w:r>
            <w:r>
              <w:rPr>
                <w:spacing w:val="-2"/>
                <w:sz w:val="18"/>
              </w:rPr>
              <w:t xml:space="preserve"> </w:t>
            </w:r>
            <w:r>
              <w:rPr>
                <w:sz w:val="18"/>
              </w:rPr>
              <w:t>2:</w:t>
            </w:r>
            <w:r>
              <w:rPr>
                <w:spacing w:val="80"/>
                <w:sz w:val="18"/>
              </w:rPr>
              <w:t xml:space="preserve"> </w:t>
            </w:r>
            <w:r>
              <w:rPr>
                <w:sz w:val="18"/>
              </w:rPr>
              <w:t>The</w:t>
            </w:r>
            <w:r>
              <w:rPr>
                <w:spacing w:val="-2"/>
                <w:sz w:val="18"/>
              </w:rPr>
              <w:t xml:space="preserve"> </w:t>
            </w:r>
            <w:r>
              <w:rPr>
                <w:sz w:val="18"/>
              </w:rPr>
              <w:t>average</w:t>
            </w:r>
            <w:r>
              <w:rPr>
                <w:spacing w:val="-4"/>
                <w:sz w:val="18"/>
              </w:rPr>
              <w:t xml:space="preserve"> </w:t>
            </w:r>
            <w:r>
              <w:rPr>
                <w:sz w:val="18"/>
              </w:rPr>
              <w:t>measurement</w:t>
            </w:r>
            <w:r>
              <w:rPr>
                <w:spacing w:val="-4"/>
                <w:sz w:val="18"/>
              </w:rPr>
              <w:t xml:space="preserve"> </w:t>
            </w:r>
            <w:r>
              <w:rPr>
                <w:sz w:val="18"/>
              </w:rPr>
              <w:t>method</w:t>
            </w:r>
            <w:r>
              <w:rPr>
                <w:spacing w:val="-4"/>
                <w:sz w:val="18"/>
              </w:rPr>
              <w:t xml:space="preserve"> </w:t>
            </w:r>
            <w:r>
              <w:rPr>
                <w:sz w:val="18"/>
              </w:rPr>
              <w:t>defined</w:t>
            </w:r>
            <w:r>
              <w:rPr>
                <w:spacing w:val="-4"/>
                <w:sz w:val="18"/>
              </w:rPr>
              <w:t xml:space="preserve"> </w:t>
            </w:r>
            <w:r>
              <w:rPr>
                <w:sz w:val="18"/>
              </w:rPr>
              <w:t>in</w:t>
            </w:r>
            <w:r>
              <w:rPr>
                <w:spacing w:val="-4"/>
                <w:sz w:val="18"/>
              </w:rPr>
              <w:t xml:space="preserve"> </w:t>
            </w:r>
            <w:r>
              <w:rPr>
                <w:sz w:val="18"/>
              </w:rPr>
              <w:t>clause</w:t>
            </w:r>
            <w:r>
              <w:rPr>
                <w:spacing w:val="-2"/>
                <w:sz w:val="18"/>
              </w:rPr>
              <w:t xml:space="preserve"> </w:t>
            </w:r>
            <w:r>
              <w:rPr>
                <w:sz w:val="18"/>
              </w:rPr>
              <w:t>5.2.2.3</w:t>
            </w:r>
            <w:r>
              <w:rPr>
                <w:spacing w:val="-4"/>
                <w:sz w:val="18"/>
              </w:rPr>
              <w:t xml:space="preserve"> </w:t>
            </w:r>
            <w:r>
              <w:rPr>
                <w:sz w:val="18"/>
              </w:rPr>
              <w:t>shall</w:t>
            </w:r>
            <w:r>
              <w:rPr>
                <w:spacing w:val="-2"/>
                <w:sz w:val="18"/>
              </w:rPr>
              <w:t xml:space="preserve"> </w:t>
            </w:r>
            <w:r>
              <w:rPr>
                <w:sz w:val="18"/>
              </w:rPr>
              <w:t>apply</w:t>
            </w:r>
            <w:r>
              <w:rPr>
                <w:spacing w:val="-3"/>
                <w:sz w:val="18"/>
              </w:rPr>
              <w:t xml:space="preserve"> </w:t>
            </w:r>
            <w:r>
              <w:rPr>
                <w:sz w:val="18"/>
              </w:rPr>
              <w:t>except</w:t>
            </w:r>
            <w:r>
              <w:rPr>
                <w:spacing w:val="-1"/>
                <w:sz w:val="18"/>
              </w:rPr>
              <w:t xml:space="preserve"> </w:t>
            </w:r>
            <w:r>
              <w:rPr>
                <w:sz w:val="18"/>
              </w:rPr>
              <w:t>that</w:t>
            </w:r>
            <w:r>
              <w:rPr>
                <w:spacing w:val="-1"/>
                <w:sz w:val="18"/>
              </w:rPr>
              <w:t xml:space="preserve"> </w:t>
            </w:r>
            <w:r>
              <w:rPr>
                <w:sz w:val="18"/>
              </w:rPr>
              <w:t xml:space="preserve">a measurement time of 20 </w:t>
            </w:r>
            <w:proofErr w:type="spellStart"/>
            <w:r>
              <w:rPr>
                <w:sz w:val="18"/>
              </w:rPr>
              <w:t>ms</w:t>
            </w:r>
            <w:proofErr w:type="spellEnd"/>
            <w:r>
              <w:rPr>
                <w:sz w:val="18"/>
              </w:rPr>
              <w:t xml:space="preserve"> shall be used in the sub-band 1 573,42 MHz to</w:t>
            </w:r>
          </w:p>
          <w:p w14:paraId="0F65317F" w14:textId="77777777" w:rsidR="00AC77A0" w:rsidRDefault="00AC77A0">
            <w:pPr>
              <w:pStyle w:val="TableParagraph"/>
              <w:spacing w:line="206" w:lineRule="exact"/>
              <w:ind w:left="880"/>
              <w:jc w:val="left"/>
              <w:rPr>
                <w:sz w:val="18"/>
              </w:rPr>
            </w:pPr>
            <w:r>
              <w:rPr>
                <w:sz w:val="18"/>
              </w:rPr>
              <w:t>1</w:t>
            </w:r>
            <w:r>
              <w:rPr>
                <w:spacing w:val="-2"/>
                <w:sz w:val="18"/>
              </w:rPr>
              <w:t xml:space="preserve"> </w:t>
            </w:r>
            <w:r>
              <w:rPr>
                <w:sz w:val="18"/>
              </w:rPr>
              <w:t xml:space="preserve">580,42 </w:t>
            </w:r>
            <w:proofErr w:type="spellStart"/>
            <w:r>
              <w:rPr>
                <w:spacing w:val="-4"/>
                <w:sz w:val="18"/>
              </w:rPr>
              <w:t>MHz.</w:t>
            </w:r>
            <w:proofErr w:type="spellEnd"/>
          </w:p>
          <w:p w14:paraId="38288996" w14:textId="77777777" w:rsidR="00AC77A0" w:rsidRDefault="00AC77A0">
            <w:pPr>
              <w:pStyle w:val="TableParagraph"/>
              <w:spacing w:line="206" w:lineRule="exact"/>
              <w:ind w:left="880" w:right="582" w:hanging="853"/>
              <w:jc w:val="left"/>
              <w:rPr>
                <w:sz w:val="18"/>
              </w:rPr>
            </w:pPr>
            <w:r>
              <w:rPr>
                <w:sz w:val="18"/>
              </w:rPr>
              <w:t>NOTE</w:t>
            </w:r>
            <w:r>
              <w:rPr>
                <w:spacing w:val="-2"/>
                <w:sz w:val="18"/>
              </w:rPr>
              <w:t xml:space="preserve"> </w:t>
            </w:r>
            <w:r>
              <w:rPr>
                <w:sz w:val="18"/>
              </w:rPr>
              <w:t>3:</w:t>
            </w:r>
            <w:r>
              <w:rPr>
                <w:spacing w:val="80"/>
                <w:sz w:val="18"/>
              </w:rPr>
              <w:t xml:space="preserve"> </w:t>
            </w:r>
            <w:r>
              <w:rPr>
                <w:sz w:val="18"/>
              </w:rPr>
              <w:t>If</w:t>
            </w:r>
            <w:r>
              <w:rPr>
                <w:spacing w:val="-1"/>
                <w:sz w:val="18"/>
              </w:rPr>
              <w:t xml:space="preserve"> </w:t>
            </w:r>
            <w:r>
              <w:rPr>
                <w:sz w:val="18"/>
              </w:rPr>
              <w:t>MES</w:t>
            </w:r>
            <w:r>
              <w:rPr>
                <w:spacing w:val="-2"/>
                <w:sz w:val="18"/>
              </w:rPr>
              <w:t xml:space="preserve"> </w:t>
            </w:r>
            <w:r>
              <w:rPr>
                <w:sz w:val="18"/>
              </w:rPr>
              <w:t>antenna</w:t>
            </w:r>
            <w:r>
              <w:rPr>
                <w:spacing w:val="-2"/>
                <w:sz w:val="18"/>
              </w:rPr>
              <w:t xml:space="preserve"> </w:t>
            </w:r>
            <w:r>
              <w:rPr>
                <w:sz w:val="18"/>
              </w:rPr>
              <w:t>gain</w:t>
            </w:r>
            <w:r>
              <w:rPr>
                <w:spacing w:val="-3"/>
                <w:sz w:val="18"/>
              </w:rPr>
              <w:t xml:space="preserve"> </w:t>
            </w:r>
            <w:r>
              <w:rPr>
                <w:sz w:val="18"/>
              </w:rPr>
              <w:t>is</w:t>
            </w:r>
            <w:r>
              <w:rPr>
                <w:spacing w:val="-3"/>
                <w:sz w:val="18"/>
              </w:rPr>
              <w:t xml:space="preserve"> </w:t>
            </w:r>
            <w:r>
              <w:rPr>
                <w:sz w:val="18"/>
              </w:rPr>
              <w:t>higher</w:t>
            </w:r>
            <w:r>
              <w:rPr>
                <w:spacing w:val="-3"/>
                <w:sz w:val="18"/>
              </w:rPr>
              <w:t xml:space="preserve"> </w:t>
            </w:r>
            <w:r>
              <w:rPr>
                <w:sz w:val="18"/>
              </w:rPr>
              <w:t>than</w:t>
            </w:r>
            <w:r>
              <w:rPr>
                <w:spacing w:val="-2"/>
                <w:sz w:val="18"/>
              </w:rPr>
              <w:t xml:space="preserve"> </w:t>
            </w:r>
            <w:r>
              <w:rPr>
                <w:sz w:val="18"/>
              </w:rPr>
              <w:t>8</w:t>
            </w:r>
            <w:r>
              <w:rPr>
                <w:spacing w:val="-3"/>
                <w:sz w:val="18"/>
              </w:rPr>
              <w:t xml:space="preserve"> </w:t>
            </w:r>
            <w:r>
              <w:rPr>
                <w:sz w:val="18"/>
              </w:rPr>
              <w:t>dBi,</w:t>
            </w:r>
            <w:r>
              <w:rPr>
                <w:spacing w:val="-3"/>
                <w:sz w:val="18"/>
              </w:rPr>
              <w:t xml:space="preserve"> </w:t>
            </w:r>
            <w:r>
              <w:rPr>
                <w:sz w:val="18"/>
              </w:rPr>
              <w:t>the</w:t>
            </w:r>
            <w:r>
              <w:rPr>
                <w:spacing w:val="-3"/>
                <w:sz w:val="18"/>
              </w:rPr>
              <w:t xml:space="preserve"> </w:t>
            </w:r>
            <w:r>
              <w:rPr>
                <w:sz w:val="18"/>
              </w:rPr>
              <w:t>unwanted</w:t>
            </w:r>
            <w:r>
              <w:rPr>
                <w:spacing w:val="-3"/>
                <w:sz w:val="18"/>
              </w:rPr>
              <w:t xml:space="preserve"> </w:t>
            </w:r>
            <w:r>
              <w:rPr>
                <w:sz w:val="18"/>
              </w:rPr>
              <w:t>emission</w:t>
            </w:r>
            <w:r>
              <w:rPr>
                <w:spacing w:val="-3"/>
                <w:sz w:val="18"/>
              </w:rPr>
              <w:t xml:space="preserve"> </w:t>
            </w:r>
            <w:r>
              <w:rPr>
                <w:sz w:val="18"/>
              </w:rPr>
              <w:t>limit</w:t>
            </w:r>
            <w:r>
              <w:rPr>
                <w:spacing w:val="-3"/>
                <w:sz w:val="18"/>
              </w:rPr>
              <w:t xml:space="preserve"> </w:t>
            </w:r>
            <w:r>
              <w:rPr>
                <w:sz w:val="18"/>
              </w:rPr>
              <w:t>in</w:t>
            </w:r>
            <w:r>
              <w:rPr>
                <w:spacing w:val="-2"/>
                <w:sz w:val="18"/>
              </w:rPr>
              <w:t xml:space="preserve"> </w:t>
            </w:r>
            <w:r>
              <w:rPr>
                <w:sz w:val="18"/>
              </w:rPr>
              <w:t>the</w:t>
            </w:r>
            <w:r>
              <w:rPr>
                <w:spacing w:val="-2"/>
                <w:sz w:val="18"/>
              </w:rPr>
              <w:t xml:space="preserve"> </w:t>
            </w:r>
            <w:r>
              <w:rPr>
                <w:sz w:val="18"/>
              </w:rPr>
              <w:t xml:space="preserve">band 1 525 MHz to 1 559 MHz shall </w:t>
            </w:r>
            <w:proofErr w:type="gramStart"/>
            <w:r>
              <w:rPr>
                <w:sz w:val="18"/>
              </w:rPr>
              <w:t>be considered to be</w:t>
            </w:r>
            <w:proofErr w:type="gramEnd"/>
            <w:r>
              <w:rPr>
                <w:sz w:val="18"/>
              </w:rPr>
              <w:t xml:space="preserve"> -90 </w:t>
            </w:r>
            <w:proofErr w:type="spellStart"/>
            <w:r>
              <w:rPr>
                <w:sz w:val="18"/>
              </w:rPr>
              <w:t>dBW</w:t>
            </w:r>
            <w:proofErr w:type="spellEnd"/>
            <w:r>
              <w:rPr>
                <w:sz w:val="18"/>
              </w:rPr>
              <w:t xml:space="preserve"> in 100 kHz.</w:t>
            </w:r>
          </w:p>
        </w:tc>
      </w:tr>
    </w:tbl>
    <w:p w14:paraId="1B9B3E13" w14:textId="77777777" w:rsidR="00A96081" w:rsidRDefault="00A96081" w:rsidP="00EB6659"/>
    <w:p w14:paraId="1BAD792A" w14:textId="21A0F1DB" w:rsidR="00AC77A0" w:rsidRDefault="00803503" w:rsidP="00EB6659">
      <w:r>
        <w:t>The</w:t>
      </w:r>
      <w:r w:rsidR="00FE78D6">
        <w:t xml:space="preserve"> emissions limit for 1610-12750MHz captures the carrier-off requirements</w:t>
      </w:r>
      <w:r>
        <w:t xml:space="preserve"> for protection of radioastronomy bands within 1660-1660.5MHz and 1668-1670MHz</w:t>
      </w:r>
      <w:r w:rsidR="00231C14">
        <w:t>, mandating a limit of -87dBW/100kHz</w:t>
      </w:r>
      <w:r w:rsidR="00056999">
        <w:t xml:space="preserve">, measured in any </w:t>
      </w:r>
      <w:proofErr w:type="gramStart"/>
      <w:r w:rsidR="00056999">
        <w:t>time period</w:t>
      </w:r>
      <w:proofErr w:type="gramEnd"/>
      <w:r w:rsidR="00056999">
        <w:t xml:space="preserve"> as a peak hold measurement.</w:t>
      </w:r>
    </w:p>
    <w:p w14:paraId="079D3DC6" w14:textId="141E8B9E" w:rsidR="002C6E6B" w:rsidRDefault="00AE56B3" w:rsidP="00B855DB">
      <w:pPr>
        <w:pStyle w:val="Caption"/>
        <w:rPr>
          <w:i/>
          <w:iCs/>
        </w:rPr>
      </w:pPr>
      <w:bookmarkStart w:id="8" w:name="_Toc179739373"/>
      <w:r>
        <w:t>Observation 3:</w:t>
      </w:r>
      <w:r w:rsidR="002C6E6B">
        <w:t xml:space="preserve"> </w:t>
      </w:r>
      <w:r w:rsidRPr="00AE56B3">
        <w:t xml:space="preserve">In ETSI EN 301 681, TX-off as a measure for protection of RA stations </w:t>
      </w:r>
      <w:bookmarkEnd w:id="8"/>
      <w:r w:rsidRPr="00AE56B3">
        <w:t>is considered sufficient assuming the carrier-off state requirement can be met.</w:t>
      </w:r>
    </w:p>
    <w:p w14:paraId="31F33FD2" w14:textId="22120763" w:rsidR="00C244C6" w:rsidRPr="00C244C6" w:rsidRDefault="00C244C6" w:rsidP="00C244C6">
      <w:r>
        <w:t>The ITU M.1480 specifies a carrier off state level of -77dBW</w:t>
      </w:r>
      <w:r w:rsidR="00056999">
        <w:t>/100kHz</w:t>
      </w:r>
    </w:p>
    <w:p w14:paraId="563C5CE4" w14:textId="2DA4A210" w:rsidR="00056999" w:rsidRDefault="00C244C6" w:rsidP="00C244C6">
      <w:pPr>
        <w:rPr>
          <w:b/>
          <w:bCs/>
        </w:rPr>
      </w:pPr>
      <w:r>
        <w:rPr>
          <w:b/>
          <w:bCs/>
        </w:rPr>
        <w:t xml:space="preserve">Observation </w:t>
      </w:r>
      <w:r w:rsidR="00AE56B3">
        <w:rPr>
          <w:b/>
          <w:bCs/>
        </w:rPr>
        <w:t>4</w:t>
      </w:r>
      <w:r>
        <w:rPr>
          <w:b/>
          <w:bCs/>
        </w:rPr>
        <w:t>: The ETSI EN 301 681 requirement for carrier-off state is less stringent than that of the ITU M.1480.</w:t>
      </w:r>
    </w:p>
    <w:p w14:paraId="40E9380B" w14:textId="2E3AFBC1" w:rsidR="0099258B" w:rsidRDefault="0099258B" w:rsidP="00C244C6">
      <w:r>
        <w:t>Comparing this carrier-off state with the 3GPP limit which for a 5MHz CHBW is -3dBW/Hz, the EN 301 681 limit is -27dBW/Hz and the</w:t>
      </w:r>
      <w:r w:rsidR="0037403D">
        <w:t xml:space="preserve"> ITU M.1480 limit is -17dBW/Hz.</w:t>
      </w:r>
    </w:p>
    <w:p w14:paraId="49A74166" w14:textId="6EFE9A58" w:rsidR="0037403D" w:rsidRPr="0037403D" w:rsidRDefault="0037403D" w:rsidP="00C244C6">
      <w:pPr>
        <w:rPr>
          <w:b/>
          <w:bCs/>
        </w:rPr>
      </w:pPr>
      <w:r>
        <w:rPr>
          <w:b/>
          <w:bCs/>
        </w:rPr>
        <w:t xml:space="preserve">Observation </w:t>
      </w:r>
      <w:r w:rsidR="00AE56B3">
        <w:rPr>
          <w:b/>
          <w:bCs/>
        </w:rPr>
        <w:t>5</w:t>
      </w:r>
      <w:r>
        <w:rPr>
          <w:b/>
          <w:bCs/>
        </w:rPr>
        <w:t xml:space="preserve">: The 3GPP carrier off state requirement is -3dBW/Hz, compared to ETSI EN 301 681 at -27dBW/Hz and </w:t>
      </w:r>
      <w:r w:rsidR="00F12B22">
        <w:rPr>
          <w:b/>
          <w:bCs/>
        </w:rPr>
        <w:t>ITU M.1480 at -17dBW/Hz.</w:t>
      </w:r>
    </w:p>
    <w:p w14:paraId="3BC16C68" w14:textId="1DF72475" w:rsidR="002B1B76" w:rsidRDefault="002B1B76" w:rsidP="00F40BB4">
      <w:pPr>
        <w:pStyle w:val="Heading3"/>
      </w:pPr>
      <w:r>
        <w:t>FCC and NTIA</w:t>
      </w:r>
    </w:p>
    <w:p w14:paraId="1BD80F35" w14:textId="1B7398CB" w:rsidR="002B1B76" w:rsidRDefault="000C6A08" w:rsidP="002B1B76">
      <w:r>
        <w:t>Both the Federal Communications Commission (FCC) and the National Te</w:t>
      </w:r>
      <w:r w:rsidR="005F4DB0">
        <w:t>lecommunications and Information Administration (NTIA) recognize the importance of protecting Radio Astronomy services.</w:t>
      </w:r>
    </w:p>
    <w:p w14:paraId="2ABC5B78" w14:textId="018A603A" w:rsidR="005C68D8" w:rsidRDefault="005C68D8" w:rsidP="002B1B76">
      <w:r>
        <w:t>These focus on the following frequency range which is dedicated to Radio Astronomy and Radiosonde:</w:t>
      </w:r>
    </w:p>
    <w:p w14:paraId="1BE7D983" w14:textId="44F2F36B" w:rsidR="005C68D8" w:rsidRDefault="005C68D8" w:rsidP="005C68D8">
      <w:pPr>
        <w:pStyle w:val="ListParagraph"/>
        <w:numPr>
          <w:ilvl w:val="0"/>
          <w:numId w:val="6"/>
        </w:numPr>
      </w:pPr>
      <w:r>
        <w:t>166</w:t>
      </w:r>
      <w:r w:rsidR="00C24122">
        <w:t>0.5-1668 MHz</w:t>
      </w:r>
    </w:p>
    <w:p w14:paraId="0D092965" w14:textId="28CA7FF8" w:rsidR="00C24122" w:rsidRDefault="00C24122" w:rsidP="00C24122">
      <w:r>
        <w:t>As well as on the following frequency ranges, which are shared between Radio Astronomy and the Mobile Satellite Services:</w:t>
      </w:r>
    </w:p>
    <w:p w14:paraId="2DDC8F89" w14:textId="15A8F1D4" w:rsidR="00C24122" w:rsidRDefault="00C24122" w:rsidP="00C24122">
      <w:pPr>
        <w:pStyle w:val="ListParagraph"/>
        <w:numPr>
          <w:ilvl w:val="0"/>
          <w:numId w:val="6"/>
        </w:numPr>
      </w:pPr>
      <w:r>
        <w:t>1660-1660.5 MHz</w:t>
      </w:r>
    </w:p>
    <w:p w14:paraId="1F8C9A3B" w14:textId="6B65003D" w:rsidR="00C24122" w:rsidRDefault="00C24122" w:rsidP="00C24122">
      <w:pPr>
        <w:pStyle w:val="ListParagraph"/>
        <w:numPr>
          <w:ilvl w:val="0"/>
          <w:numId w:val="6"/>
        </w:numPr>
      </w:pPr>
      <w:r>
        <w:lastRenderedPageBreak/>
        <w:t>1668-1668.4 MHz</w:t>
      </w:r>
    </w:p>
    <w:p w14:paraId="3FD0B133" w14:textId="4DCA8588" w:rsidR="00937DD0" w:rsidRDefault="00C24122" w:rsidP="002B1B76">
      <w:pPr>
        <w:pStyle w:val="ListParagraph"/>
        <w:numPr>
          <w:ilvl w:val="0"/>
          <w:numId w:val="6"/>
        </w:numPr>
      </w:pPr>
      <w:r>
        <w:t>1668.4-1670 MHz</w:t>
      </w:r>
    </w:p>
    <w:p w14:paraId="38E07E56" w14:textId="3B25D09B" w:rsidR="00937DD0" w:rsidRDefault="00937DD0" w:rsidP="002B1B76">
      <w:r>
        <w:t>The FCC captures the following:</w:t>
      </w:r>
    </w:p>
    <w:p w14:paraId="5F0124FB" w14:textId="6D369BE8" w:rsidR="00937DD0" w:rsidRDefault="00937DD0" w:rsidP="00C24122">
      <w:pPr>
        <w:pStyle w:val="ListParagraph"/>
        <w:numPr>
          <w:ilvl w:val="0"/>
          <w:numId w:val="6"/>
        </w:numPr>
      </w:pPr>
      <w:bookmarkStart w:id="9" w:name="_Hlk179714542"/>
      <w:r w:rsidRPr="00937DD0">
        <w:t>47 CFR 2.106(b)(</w:t>
      </w:r>
      <w:proofErr w:type="gramStart"/>
      <w:r w:rsidRPr="00937DD0">
        <w:t>376)(</w:t>
      </w:r>
      <w:proofErr w:type="spellStart"/>
      <w:proofErr w:type="gramEnd"/>
      <w:r w:rsidRPr="00937DD0">
        <w:t>i</w:t>
      </w:r>
      <w:proofErr w:type="spellEnd"/>
      <w:r w:rsidRPr="00937DD0">
        <w:t>)</w:t>
      </w:r>
      <w:r w:rsidR="00C24122">
        <w:t xml:space="preserve">:  </w:t>
      </w:r>
    </w:p>
    <w:bookmarkEnd w:id="9"/>
    <w:p w14:paraId="497B6452" w14:textId="47DF2CC7" w:rsidR="00C24122" w:rsidRDefault="00C24122" w:rsidP="00C24122">
      <w:pPr>
        <w:pStyle w:val="ListParagraph"/>
        <w:numPr>
          <w:ilvl w:val="1"/>
          <w:numId w:val="6"/>
        </w:numPr>
      </w:pPr>
      <w:r w:rsidRPr="00C24122">
        <w:t>5.376A Mobile earth stations operating in the band 1660-1660.5 MHz shall not cause harmful interference to stations in the radio astronomy service.</w:t>
      </w:r>
    </w:p>
    <w:p w14:paraId="55D62181" w14:textId="1C907342" w:rsidR="003B06AA" w:rsidRDefault="003E30E8" w:rsidP="003E30E8">
      <w:pPr>
        <w:pStyle w:val="ListParagraph"/>
        <w:numPr>
          <w:ilvl w:val="0"/>
          <w:numId w:val="6"/>
        </w:numPr>
      </w:pPr>
      <w:r w:rsidRPr="003E30E8">
        <w:t>47 CFR 2.106(b)(</w:t>
      </w:r>
      <w:proofErr w:type="gramStart"/>
      <w:r w:rsidRPr="003E30E8">
        <w:t>379)(</w:t>
      </w:r>
      <w:proofErr w:type="spellStart"/>
      <w:proofErr w:type="gramEnd"/>
      <w:r w:rsidRPr="003E30E8">
        <w:t>i</w:t>
      </w:r>
      <w:proofErr w:type="spellEnd"/>
      <w:r w:rsidRPr="003E30E8">
        <w:t>)</w:t>
      </w:r>
    </w:p>
    <w:p w14:paraId="1440A728" w14:textId="1FA72E61" w:rsidR="003E30E8" w:rsidRDefault="000725AF" w:rsidP="003E30E8">
      <w:pPr>
        <w:pStyle w:val="ListParagraph"/>
        <w:numPr>
          <w:ilvl w:val="1"/>
          <w:numId w:val="6"/>
        </w:numPr>
      </w:pPr>
      <w:r w:rsidRPr="000725AF">
        <w:t>5.379A Administrations are urged to give all practicable protection in the band 1660.5-1668.4 MHz for future research in radio astronomy, particularly by eliminating air-to-ground transmissions in the meteorological aids service in the band 1664.4-1668.4 MHz as soon as practicable.</w:t>
      </w:r>
    </w:p>
    <w:p w14:paraId="333D9775" w14:textId="7F1C8AFA" w:rsidR="004D4DBE" w:rsidRDefault="00DE4BA5" w:rsidP="004D4DBE">
      <w:pPr>
        <w:pStyle w:val="ListParagraph"/>
        <w:numPr>
          <w:ilvl w:val="0"/>
          <w:numId w:val="6"/>
        </w:numPr>
      </w:pPr>
      <w:r w:rsidRPr="00DE4BA5">
        <w:t>47 CFR 2.106(b)(</w:t>
      </w:r>
      <w:proofErr w:type="gramStart"/>
      <w:r w:rsidRPr="00DE4BA5">
        <w:t>379)(</w:t>
      </w:r>
      <w:proofErr w:type="gramEnd"/>
      <w:r w:rsidRPr="00DE4BA5">
        <w:t>ii)</w:t>
      </w:r>
    </w:p>
    <w:p w14:paraId="4AC390D9" w14:textId="48979D8C" w:rsidR="00DE4BA5" w:rsidRDefault="00DE4BA5" w:rsidP="00DE4BA5">
      <w:pPr>
        <w:pStyle w:val="ListParagraph"/>
        <w:numPr>
          <w:ilvl w:val="1"/>
          <w:numId w:val="6"/>
        </w:numPr>
      </w:pPr>
      <w:r w:rsidRPr="00DE4BA5">
        <w:t>In the band 1668-1668.4 MHz, Resolution 904 (WRC-07) shall apply.</w:t>
      </w:r>
    </w:p>
    <w:p w14:paraId="0773EC18" w14:textId="3B7F1C36" w:rsidR="00DE4BA5" w:rsidRDefault="00445F92" w:rsidP="00DE4BA5">
      <w:pPr>
        <w:pStyle w:val="ListParagraph"/>
        <w:numPr>
          <w:ilvl w:val="0"/>
          <w:numId w:val="6"/>
        </w:numPr>
      </w:pPr>
      <w:r w:rsidRPr="00445F92">
        <w:t>47 CFR 2.106(b)(</w:t>
      </w:r>
      <w:proofErr w:type="gramStart"/>
      <w:r w:rsidRPr="00445F92">
        <w:t>379)(</w:t>
      </w:r>
      <w:proofErr w:type="gramEnd"/>
      <w:r w:rsidRPr="00445F92">
        <w:t>iii)</w:t>
      </w:r>
      <w:r>
        <w:t xml:space="preserve"> </w:t>
      </w:r>
    </w:p>
    <w:p w14:paraId="7C3E8E1C" w14:textId="3F8D5F98" w:rsidR="00445F92" w:rsidRDefault="00386876" w:rsidP="00445F92">
      <w:pPr>
        <w:pStyle w:val="ListParagraph"/>
        <w:numPr>
          <w:ilvl w:val="1"/>
          <w:numId w:val="6"/>
        </w:numPr>
      </w:pPr>
      <w:r w:rsidRPr="00386876">
        <w:t>5.379C In order to protect the radio astronomy service in the band 1668-1670 MHz, the aggregate power flux-density values produced by mobile earth stations in a network of the mobile-satellite service operating in this band shall not exceed −181 dB(W/m</w:t>
      </w:r>
      <w:r w:rsidRPr="00386876">
        <w:rPr>
          <w:vertAlign w:val="superscript"/>
        </w:rPr>
        <w:t>2</w:t>
      </w:r>
      <w:r w:rsidRPr="00386876">
        <w:t>) in 10 MHz and −194 dB(W/m</w:t>
      </w:r>
      <w:r w:rsidRPr="00386876">
        <w:rPr>
          <w:vertAlign w:val="superscript"/>
        </w:rPr>
        <w:t>2</w:t>
      </w:r>
      <w:r w:rsidRPr="00386876">
        <w:t>) in any 20 kHz at any radio astronomy station recorded in the Master International Frequency Register, for more than 2% of integration periods of 2000 s.</w:t>
      </w:r>
    </w:p>
    <w:p w14:paraId="4C4537CF" w14:textId="44BB14BC" w:rsidR="00386876" w:rsidRDefault="001C31C3" w:rsidP="00386876">
      <w:pPr>
        <w:pStyle w:val="ListParagraph"/>
        <w:numPr>
          <w:ilvl w:val="0"/>
          <w:numId w:val="6"/>
        </w:numPr>
      </w:pPr>
      <w:r w:rsidRPr="001C31C3">
        <w:t>47 CFR 2.106(c</w:t>
      </w:r>
      <w:proofErr w:type="gramStart"/>
      <w:r w:rsidRPr="001C31C3">
        <w:t>)(</w:t>
      </w:r>
      <w:proofErr w:type="gramEnd"/>
      <w:r w:rsidRPr="001C31C3">
        <w:t>246)</w:t>
      </w:r>
    </w:p>
    <w:p w14:paraId="01FCFC1B" w14:textId="13C37939" w:rsidR="00C24122" w:rsidRDefault="004C79C6" w:rsidP="002B1B76">
      <w:pPr>
        <w:pStyle w:val="ListParagraph"/>
        <w:numPr>
          <w:ilvl w:val="1"/>
          <w:numId w:val="6"/>
        </w:numPr>
      </w:pPr>
      <w:r w:rsidRPr="004C79C6">
        <w:t>US246 No station shall be authorized to transmit in the following bands: 73-74.6 MHz, 608-614 MHz, except for medical telemetry equipment and white space devices, 1400-1427 MHz, 1660.5-1668.4 MHz, 2690-2700 MHz, 4990-5000 MHz, 10.68-10.7 GHz, 15.35-15.4 GHz, 23.6-24 GHz, 31.3-31.8 GHz, 50.2-50.4 GHz, 52.6-54.25 GHz, 86-92 GHz, 100-102 GHz, 109.5-111.8 GHz, 114.25-116 GHz, 148.5-151.5 GHz, 164-167 GHz, 182-185 GHz, 190-191.8 GHz, 200-209 GHz, 226-231.5 GHz, 250-252 GHz.</w:t>
      </w:r>
    </w:p>
    <w:p w14:paraId="4007B3AA" w14:textId="71264437" w:rsidR="00B657AB" w:rsidRDefault="00B657AB" w:rsidP="00B657AB">
      <w:r>
        <w:t>As seen above, fo</w:t>
      </w:r>
      <w:r w:rsidR="000E3D8A">
        <w:t>r the protection of the radi</w:t>
      </w:r>
      <w:r w:rsidR="00626FD8">
        <w:t>o</w:t>
      </w:r>
      <w:r w:rsidR="000E3D8A">
        <w:t>astronomy band operating at 1660-1660.5MHz, only the guarantee that no harmful interference is imposed upon the radi</w:t>
      </w:r>
      <w:r w:rsidR="00626FD8">
        <w:t>o</w:t>
      </w:r>
      <w:r w:rsidR="000E3D8A">
        <w:t>astronomy service is mandated</w:t>
      </w:r>
      <w:r w:rsidR="004A0A76">
        <w:t>.</w:t>
      </w:r>
    </w:p>
    <w:p w14:paraId="2DDBDDD3" w14:textId="28AF7CE1" w:rsidR="004A0A76" w:rsidRDefault="004A0A76" w:rsidP="00B657AB">
      <w:r>
        <w:t xml:space="preserve">For the </w:t>
      </w:r>
      <w:r w:rsidR="00350112">
        <w:t>protection of the radioastronomy band in 1668-1670MHz a power flux density limit is imposed</w:t>
      </w:r>
      <w:r w:rsidR="00BB711F">
        <w:t>, which is measured at the radioastronomy station</w:t>
      </w:r>
      <w:r w:rsidR="00FE5C05">
        <w:t xml:space="preserve">. The MSS UE must not exceed a PFD level of -181dBW/m^2 in 10MHz and </w:t>
      </w:r>
      <w:r w:rsidR="009128AE">
        <w:t>-194dBW/m^2 in any 20kHz. This cannot be exceeded for more than 2% of integration periods of 2000s.</w:t>
      </w:r>
    </w:p>
    <w:p w14:paraId="652233E4" w14:textId="13EC7B56" w:rsidR="009128AE" w:rsidRDefault="009128AE" w:rsidP="00B855DB">
      <w:pPr>
        <w:pStyle w:val="Caption"/>
        <w:rPr>
          <w:b w:val="0"/>
          <w:bCs w:val="0"/>
          <w:i/>
          <w:iCs/>
        </w:rPr>
      </w:pPr>
      <w:bookmarkStart w:id="10" w:name="_Toc179739374"/>
      <w:r w:rsidRPr="00141397">
        <w:rPr>
          <w:i/>
        </w:rPr>
        <w:t xml:space="preserve">Observation </w:t>
      </w:r>
      <w:r w:rsidR="00A822F9">
        <w:rPr>
          <w:i/>
        </w:rPr>
        <w:t>6</w:t>
      </w:r>
      <w:r w:rsidR="00B855DB" w:rsidRPr="00141397">
        <w:rPr>
          <w:i/>
        </w:rPr>
        <w:t>:</w:t>
      </w:r>
      <w:r>
        <w:rPr>
          <w:i/>
        </w:rPr>
        <w:t xml:space="preserve"> Protection of the radioastronomy bands is mandated by the FCC</w:t>
      </w:r>
      <w:r w:rsidR="0090621E">
        <w:rPr>
          <w:i/>
          <w:iCs/>
        </w:rPr>
        <w:t xml:space="preserve">. For the 1660-1660.5MHz RA band, interference must not be imposed upon the RA station by the UE. For the </w:t>
      </w:r>
      <w:r w:rsidR="000565F3">
        <w:rPr>
          <w:i/>
          <w:iCs/>
        </w:rPr>
        <w:t>1668-1670MHz band, PFD limits are imposed.</w:t>
      </w:r>
      <w:bookmarkEnd w:id="10"/>
    </w:p>
    <w:p w14:paraId="1AE93B7B" w14:textId="053ED0CB" w:rsidR="00E37EDD" w:rsidRDefault="00130EEE" w:rsidP="00B657AB">
      <w:pPr>
        <w:rPr>
          <w:i/>
          <w:iCs/>
        </w:rPr>
      </w:pPr>
      <w:r>
        <w:rPr>
          <w:i/>
          <w:iCs/>
        </w:rPr>
        <w:t>NTIA provides useful information about the areas where Radioastronomy stations operate</w:t>
      </w:r>
      <w:r w:rsidR="00F75719">
        <w:rPr>
          <w:i/>
          <w:iCs/>
        </w:rPr>
        <w:t xml:space="preserve"> in the </w:t>
      </w:r>
      <w:r w:rsidR="00E91DEC">
        <w:rPr>
          <w:i/>
          <w:iCs/>
        </w:rPr>
        <w:t>Unites States</w:t>
      </w:r>
      <w:r w:rsidR="00E817FB">
        <w:rPr>
          <w:i/>
          <w:iCs/>
        </w:rPr>
        <w:t>:</w:t>
      </w:r>
    </w:p>
    <w:p w14:paraId="56B6B927" w14:textId="58EB9195" w:rsidR="00E91DEC" w:rsidRPr="00130EEE" w:rsidRDefault="00D2562F" w:rsidP="00B657AB">
      <w:pPr>
        <w:rPr>
          <w:i/>
          <w:iCs/>
        </w:rPr>
      </w:pPr>
      <w:r>
        <w:rPr>
          <w:noProof/>
        </w:rPr>
        <w:lastRenderedPageBreak/>
        <mc:AlternateContent>
          <mc:Choice Requires="wpi">
            <w:drawing>
              <wp:anchor distT="0" distB="0" distL="114300" distR="114300" simplePos="0" relativeHeight="251658241" behindDoc="0" locked="0" layoutInCell="1" allowOverlap="1" wp14:anchorId="603CDE90" wp14:editId="07453CE2">
                <wp:simplePos x="0" y="0"/>
                <wp:positionH relativeFrom="column">
                  <wp:posOffset>8900503</wp:posOffset>
                </wp:positionH>
                <wp:positionV relativeFrom="paragraph">
                  <wp:posOffset>3435834</wp:posOffset>
                </wp:positionV>
                <wp:extent cx="8280" cy="360"/>
                <wp:effectExtent l="38100" t="38100" r="48895" b="38100"/>
                <wp:wrapNone/>
                <wp:docPr id="1940750982" name="Ink 3"/>
                <wp:cNvGraphicFramePr/>
                <a:graphic xmlns:a="http://schemas.openxmlformats.org/drawingml/2006/main">
                  <a:graphicData uri="http://schemas.microsoft.com/office/word/2010/wordprocessingInk">
                    <w14:contentPart bwMode="auto" r:id="rId11">
                      <w14:nvContentPartPr>
                        <w14:cNvContentPartPr/>
                      </w14:nvContentPartPr>
                      <w14:xfrm>
                        <a:off x="0" y="0"/>
                        <a:ext cx="8280" cy="360"/>
                      </w14:xfrm>
                    </w14:contentPart>
                  </a:graphicData>
                </a:graphic>
              </wp:anchor>
            </w:drawing>
          </mc:Choice>
          <mc:Fallback>
            <w:pict>
              <v:shapetype w14:anchorId="0C42FB2B"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 o:spid="_x0000_s1026" type="#_x0000_t75" style="position:absolute;margin-left:700.35pt;margin-top:270.05pt;width:1.6pt;height:1.05pt;z-index:251658241;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">
                <v:imagedata r:id="rId12" o:title=""/>
              </v:shape>
            </w:pict>
          </mc:Fallback>
        </mc:AlternateContent>
      </w:r>
      <w:r>
        <w:rPr>
          <w:noProof/>
        </w:rPr>
        <mc:AlternateContent>
          <mc:Choice Requires="wpi">
            <w:drawing>
              <wp:anchor distT="0" distB="0" distL="114300" distR="114300" simplePos="0" relativeHeight="251658240" behindDoc="0" locked="0" layoutInCell="1" allowOverlap="1" wp14:anchorId="5EC0F6C3" wp14:editId="328B424F">
                <wp:simplePos x="0" y="0"/>
                <wp:positionH relativeFrom="column">
                  <wp:posOffset>-1141697</wp:posOffset>
                </wp:positionH>
                <wp:positionV relativeFrom="paragraph">
                  <wp:posOffset>398514</wp:posOffset>
                </wp:positionV>
                <wp:extent cx="360" cy="360"/>
                <wp:effectExtent l="38100" t="38100" r="38100" b="38100"/>
                <wp:wrapNone/>
                <wp:docPr id="2063643642" name="Ink 2"/>
                <wp:cNvGraphicFramePr/>
                <a:graphic xmlns:a="http://schemas.openxmlformats.org/drawingml/2006/main">
                  <a:graphicData uri="http://schemas.microsoft.com/office/word/2010/wordprocessingInk">
                    <w14:contentPart bwMode="auto" r:id="rId13">
                      <w14:nvContentPartPr>
                        <w14:cNvContentPartPr/>
                      </w14:nvContentPartPr>
                      <w14:xfrm>
                        <a:off x="0" y="0"/>
                        <a:ext cx="360" cy="360"/>
                      </w14:xfrm>
                    </w14:contentPart>
                  </a:graphicData>
                </a:graphic>
              </wp:anchor>
            </w:drawing>
          </mc:Choice>
          <mc:Fallback>
            <w:pict>
              <v:shape w14:anchorId="7256B085" id="Ink 2" o:spid="_x0000_s1026" type="#_x0000_t75" style="position:absolute;margin-left:-90.4pt;margin-top:30.9pt;width:1.05pt;height:1.05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">
                <v:imagedata r:id="rId14" o:title=""/>
              </v:shape>
            </w:pict>
          </mc:Fallback>
        </mc:AlternateContent>
      </w:r>
      <w:r w:rsidR="00E91DEC">
        <w:rPr>
          <w:noProof/>
        </w:rPr>
        <w:drawing>
          <wp:inline distT="0" distB="0" distL="0" distR="0" wp14:anchorId="0DA5D7DC" wp14:editId="68E56195">
            <wp:extent cx="6120765" cy="4144645"/>
            <wp:effectExtent l="0" t="0" r="0" b="8255"/>
            <wp:docPr id="1495130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130072" name=""/>
                    <pic:cNvPicPr/>
                  </pic:nvPicPr>
                  <pic:blipFill>
                    <a:blip r:embed="rId15"/>
                    <a:stretch>
                      <a:fillRect/>
                    </a:stretch>
                  </pic:blipFill>
                  <pic:spPr>
                    <a:xfrm>
                      <a:off x="0" y="0"/>
                      <a:ext cx="6120765" cy="4144645"/>
                    </a:xfrm>
                    <a:prstGeom prst="rect">
                      <a:avLst/>
                    </a:prstGeom>
                  </pic:spPr>
                </pic:pic>
              </a:graphicData>
            </a:graphic>
          </wp:inline>
        </w:drawing>
      </w:r>
    </w:p>
    <w:p w14:paraId="36FC6876" w14:textId="401F566C" w:rsidR="00E37EDD" w:rsidRPr="00E817FB" w:rsidRDefault="00E817FB" w:rsidP="00B855DB">
      <w:pPr>
        <w:pStyle w:val="Caption"/>
        <w:rPr>
          <w:b w:val="0"/>
          <w:bCs w:val="0"/>
          <w:i/>
          <w:iCs/>
        </w:rPr>
      </w:pPr>
      <w:bookmarkStart w:id="11" w:name="_Toc179739375"/>
      <w:r>
        <w:t xml:space="preserve">Observation </w:t>
      </w:r>
      <w:r w:rsidR="00A822F9">
        <w:t>7</w:t>
      </w:r>
      <w:r w:rsidR="00B855DB">
        <w:t>:</w:t>
      </w:r>
      <w:r>
        <w:rPr>
          <w:i/>
        </w:rPr>
        <w:t xml:space="preserve"> </w:t>
      </w:r>
      <w:r w:rsidR="00F608D4">
        <w:rPr>
          <w:i/>
          <w:iCs/>
        </w:rPr>
        <w:t>The locations and radius of operation of Radio Astronomy stations are well-known and published via various sources, such as NTIA and the ITU frequency registry</w:t>
      </w:r>
      <w:bookmarkEnd w:id="11"/>
      <w:r w:rsidR="005F749C">
        <w:rPr>
          <w:i/>
          <w:iCs/>
        </w:rPr>
        <w:t>, therefore, protection measures can be restricted to the locations of proximity to RA stations.</w:t>
      </w:r>
    </w:p>
    <w:p w14:paraId="3435B310" w14:textId="631E4680" w:rsidR="004C29DC" w:rsidRDefault="004C29DC" w:rsidP="009564A2">
      <w:pPr>
        <w:pStyle w:val="Heading3"/>
      </w:pPr>
      <w:r>
        <w:t>Proposed Approach</w:t>
      </w:r>
    </w:p>
    <w:p w14:paraId="7FD61AB4" w14:textId="1F57E376" w:rsidR="004C29DC" w:rsidRDefault="00594F8B" w:rsidP="004C29DC">
      <w:proofErr w:type="gramStart"/>
      <w:r>
        <w:t>In order to</w:t>
      </w:r>
      <w:proofErr w:type="gramEnd"/>
      <w:r>
        <w:t xml:space="preserve"> </w:t>
      </w:r>
      <w:r w:rsidR="001A3B99">
        <w:t>improve the protection of</w:t>
      </w:r>
      <w:r w:rsidR="00912C2E">
        <w:t xml:space="preserve"> Radio Astronomy stations,</w:t>
      </w:r>
      <w:r w:rsidR="001A3B99">
        <w:t xml:space="preserve"> </w:t>
      </w:r>
      <w:r w:rsidR="00F10358">
        <w:t>we propose a number of possible mechanisms.  Currently, no explicit mechanisms are specified, but implicit mechanisms, such as RB restrictions</w:t>
      </w:r>
      <w:r w:rsidR="00912626">
        <w:t>, can be implemented.</w:t>
      </w:r>
    </w:p>
    <w:p w14:paraId="5723B985" w14:textId="7804E89A" w:rsidR="00C244C6" w:rsidRPr="00C244C6" w:rsidRDefault="00912626" w:rsidP="004C29DC">
      <w:r>
        <w:t xml:space="preserve">It is also necessary for the network to be aware of the coarse location of </w:t>
      </w:r>
      <w:r w:rsidR="00E817FB">
        <w:t xml:space="preserve">UE that are operating in the vicinity of Radio Astronomy stations.  </w:t>
      </w:r>
    </w:p>
    <w:p w14:paraId="751E2CDA" w14:textId="7CFEDFAD" w:rsidR="002429AC" w:rsidRDefault="00594F8B" w:rsidP="00B855DB">
      <w:pPr>
        <w:pStyle w:val="Caption"/>
        <w:rPr>
          <w:b w:val="0"/>
          <w:bCs w:val="0"/>
          <w:i/>
          <w:iCs/>
        </w:rPr>
      </w:pPr>
      <w:bookmarkStart w:id="12" w:name="_Toc179739612"/>
      <w:r>
        <w:t xml:space="preserve">Proposal </w:t>
      </w:r>
      <w:r w:rsidR="007A2B4E">
        <w:t>5</w:t>
      </w:r>
      <w:r>
        <w:fldChar w:fldCharType="begin"/>
      </w:r>
      <w:r>
        <w:instrText xml:space="preserve"> SEQ Proposal \* ARABIC </w:instrText>
      </w:r>
      <w:r w:rsidR="004A2450">
        <w:fldChar w:fldCharType="separate"/>
      </w:r>
      <w:r>
        <w:fldChar w:fldCharType="end"/>
      </w:r>
      <w:r w:rsidR="00B855DB">
        <w:t>:</w:t>
      </w:r>
      <w:r>
        <w:t xml:space="preserve"> </w:t>
      </w:r>
      <w:r w:rsidR="002429AC">
        <w:rPr>
          <w:i/>
          <w:iCs/>
        </w:rPr>
        <w:t>Specify a “TX disable” signal</w:t>
      </w:r>
      <w:r w:rsidR="006211A6">
        <w:rPr>
          <w:i/>
          <w:iCs/>
        </w:rPr>
        <w:t xml:space="preserve"> to be issued by the Network </w:t>
      </w:r>
      <w:r w:rsidR="006211A6" w:rsidRPr="00945CAE">
        <w:rPr>
          <w:i/>
          <w:iCs/>
        </w:rPr>
        <w:t>when a UE is close to a radioastronomy station which is registered in the ITU master international frequency register</w:t>
      </w:r>
      <w:r w:rsidR="006211A6">
        <w:rPr>
          <w:i/>
          <w:iCs/>
        </w:rPr>
        <w:t>.</w:t>
      </w:r>
      <w:bookmarkEnd w:id="12"/>
    </w:p>
    <w:p w14:paraId="786A574E" w14:textId="4D23A504" w:rsidR="002429AC" w:rsidRDefault="002429AC" w:rsidP="00B855DB">
      <w:pPr>
        <w:pStyle w:val="Caption"/>
        <w:rPr>
          <w:b w:val="0"/>
          <w:bCs w:val="0"/>
          <w:i/>
          <w:iCs/>
        </w:rPr>
      </w:pPr>
      <w:bookmarkStart w:id="13" w:name="_Toc179739613"/>
      <w:r>
        <w:t xml:space="preserve">Proposal </w:t>
      </w:r>
      <w:r>
        <w:fldChar w:fldCharType="begin"/>
      </w:r>
      <w:r>
        <w:instrText xml:space="preserve"> SEQ Proposal \* ARABIC </w:instrText>
      </w:r>
      <w:r w:rsidR="004A2450">
        <w:fldChar w:fldCharType="separate"/>
      </w:r>
      <w:r>
        <w:fldChar w:fldCharType="end"/>
      </w:r>
      <w:r w:rsidR="007A2B4E">
        <w:t>6:</w:t>
      </w:r>
      <w:r>
        <w:rPr>
          <w:i/>
        </w:rPr>
        <w:t xml:space="preserve"> Further study</w:t>
      </w:r>
      <w:r w:rsidR="00594F8B">
        <w:rPr>
          <w:i/>
          <w:iCs/>
        </w:rPr>
        <w:t xml:space="preserve"> mechanisms to improve protection of Radio Astronomy stations</w:t>
      </w:r>
      <w:r>
        <w:rPr>
          <w:i/>
          <w:iCs/>
        </w:rPr>
        <w:t>, the following options could be considered</w:t>
      </w:r>
      <w:r w:rsidR="006211A6">
        <w:rPr>
          <w:i/>
          <w:iCs/>
        </w:rPr>
        <w:t>:</w:t>
      </w:r>
      <w:bookmarkEnd w:id="13"/>
    </w:p>
    <w:p w14:paraId="62C489F8" w14:textId="0090E06A" w:rsidR="006211A6" w:rsidRDefault="006211A6" w:rsidP="006211A6">
      <w:pPr>
        <w:pStyle w:val="ListParagraph"/>
        <w:numPr>
          <w:ilvl w:val="0"/>
          <w:numId w:val="6"/>
        </w:numPr>
        <w:rPr>
          <w:b/>
          <w:bCs/>
          <w:i/>
          <w:iCs/>
        </w:rPr>
      </w:pPr>
      <w:r>
        <w:rPr>
          <w:b/>
          <w:bCs/>
          <w:i/>
          <w:iCs/>
        </w:rPr>
        <w:t>TX Disable</w:t>
      </w:r>
    </w:p>
    <w:p w14:paraId="3A45910C" w14:textId="2B37CED8" w:rsidR="006211A6" w:rsidRDefault="006211A6" w:rsidP="006211A6">
      <w:pPr>
        <w:pStyle w:val="ListParagraph"/>
        <w:numPr>
          <w:ilvl w:val="0"/>
          <w:numId w:val="6"/>
        </w:numPr>
        <w:rPr>
          <w:b/>
          <w:bCs/>
          <w:i/>
          <w:iCs/>
        </w:rPr>
      </w:pPr>
      <w:r>
        <w:rPr>
          <w:b/>
          <w:bCs/>
          <w:i/>
          <w:iCs/>
        </w:rPr>
        <w:t>RB restrictions</w:t>
      </w:r>
    </w:p>
    <w:p w14:paraId="0501BB45" w14:textId="6F0AA5B2" w:rsidR="006211A6" w:rsidRPr="006211A6" w:rsidRDefault="006211A6" w:rsidP="006211A6">
      <w:pPr>
        <w:pStyle w:val="ListParagraph"/>
        <w:numPr>
          <w:ilvl w:val="0"/>
          <w:numId w:val="6"/>
        </w:numPr>
        <w:rPr>
          <w:b/>
          <w:bCs/>
          <w:i/>
          <w:iCs/>
        </w:rPr>
      </w:pPr>
      <w:r>
        <w:rPr>
          <w:b/>
          <w:bCs/>
          <w:i/>
          <w:iCs/>
        </w:rPr>
        <w:t>NS</w:t>
      </w:r>
    </w:p>
    <w:p w14:paraId="250275F8" w14:textId="05ACB18A" w:rsidR="00594F8B" w:rsidRPr="00945CAE" w:rsidRDefault="00594F8B" w:rsidP="00B855DB">
      <w:pPr>
        <w:pStyle w:val="Caption"/>
        <w:rPr>
          <w:b w:val="0"/>
          <w:bCs w:val="0"/>
          <w:i/>
          <w:iCs/>
        </w:rPr>
      </w:pPr>
      <w:bookmarkStart w:id="14" w:name="_Toc179739614"/>
      <w:r>
        <w:t xml:space="preserve">Proposal </w:t>
      </w:r>
      <w:r w:rsidR="007A2B4E">
        <w:t>7</w:t>
      </w:r>
      <w:r>
        <w:fldChar w:fldCharType="begin"/>
      </w:r>
      <w:r>
        <w:instrText xml:space="preserve"> SEQ Proposal \* ARABIC </w:instrText>
      </w:r>
      <w:r w:rsidR="004A2450">
        <w:fldChar w:fldCharType="separate"/>
      </w:r>
      <w:r>
        <w:fldChar w:fldCharType="end"/>
      </w:r>
      <w:r w:rsidR="00B855DB">
        <w:t>:</w:t>
      </w:r>
      <w:r w:rsidRPr="00945CAE">
        <w:rPr>
          <w:i/>
        </w:rPr>
        <w:t xml:space="preserve"> Further investigation is required </w:t>
      </w:r>
      <w:proofErr w:type="gramStart"/>
      <w:r w:rsidRPr="00945CAE">
        <w:rPr>
          <w:i/>
        </w:rPr>
        <w:t>in order to</w:t>
      </w:r>
      <w:proofErr w:type="gramEnd"/>
      <w:r w:rsidRPr="00945CAE">
        <w:rPr>
          <w:i/>
        </w:rPr>
        <w:t xml:space="preserve"> understand what ‘close’ to a radioastronomy station means in practical distances and limits depending on device transmission characteristics.</w:t>
      </w:r>
      <w:bookmarkEnd w:id="14"/>
    </w:p>
    <w:p w14:paraId="06CD160D" w14:textId="6B7E78E5" w:rsidR="00E817FB" w:rsidRPr="000565F3" w:rsidRDefault="00E817FB" w:rsidP="00B855DB">
      <w:pPr>
        <w:pStyle w:val="Caption"/>
        <w:rPr>
          <w:b w:val="0"/>
          <w:bCs w:val="0"/>
          <w:i/>
          <w:iCs/>
        </w:rPr>
      </w:pPr>
      <w:bookmarkStart w:id="15" w:name="_Toc179739615"/>
      <w:r>
        <w:t xml:space="preserve">Proposal </w:t>
      </w:r>
      <w:r w:rsidR="007A2B4E">
        <w:t>8</w:t>
      </w:r>
      <w:r>
        <w:fldChar w:fldCharType="begin"/>
      </w:r>
      <w:r>
        <w:instrText xml:space="preserve"> SEQ Proposal \* ARABIC </w:instrText>
      </w:r>
      <w:r w:rsidR="004A2450">
        <w:fldChar w:fldCharType="separate"/>
      </w:r>
      <w:r>
        <w:fldChar w:fldCharType="end"/>
      </w:r>
      <w:r w:rsidR="00B855DB">
        <w:t>:</w:t>
      </w:r>
      <w:r>
        <w:rPr>
          <w:i/>
        </w:rPr>
        <w:t xml:space="preserve"> Derivation of distance from a RA station which yields this PFD performance should be calculated, and these distances / limits may become an additional network signalled value in the event a UE is within this distance from an RA station on the ITU master frequency international register.</w:t>
      </w:r>
      <w:bookmarkEnd w:id="15"/>
    </w:p>
    <w:p w14:paraId="6725823E" w14:textId="77777777" w:rsidR="00594F8B" w:rsidRDefault="00594F8B" w:rsidP="004C29DC"/>
    <w:p w14:paraId="6DF5802C" w14:textId="482163BC" w:rsidR="005C00C6" w:rsidRDefault="005C00C6" w:rsidP="009564A2">
      <w:pPr>
        <w:pStyle w:val="Heading2"/>
      </w:pPr>
      <w:r>
        <w:lastRenderedPageBreak/>
        <w:t>EN 301 681 General Regulatory Information</w:t>
      </w:r>
    </w:p>
    <w:p w14:paraId="790976C1" w14:textId="786985CA" w:rsidR="00AB341A" w:rsidRDefault="005C00C6" w:rsidP="005C00C6">
      <w:r w:rsidRPr="005C00C6">
        <w:t>The ETSI EN 301 681 harmonized standard mandates th</w:t>
      </w:r>
      <w:r>
        <w:t xml:space="preserve">e regulatory spectrum emissions concerned with L-band and Extended L-band. Band 253 is </w:t>
      </w:r>
      <w:r w:rsidR="00B12374">
        <w:t>extended L-band, and bands 251 and 250 are combinations of L-band and extended L-band</w:t>
      </w:r>
      <w:r w:rsidR="00C56E3F">
        <w:t xml:space="preserve"> as seen in Table 1.</w:t>
      </w:r>
      <w:r w:rsidR="00AB341A">
        <w:t xml:space="preserve"> </w:t>
      </w:r>
    </w:p>
    <w:p w14:paraId="13B94384" w14:textId="545D5405" w:rsidR="00AB341A" w:rsidRDefault="00AB341A" w:rsidP="009564A2">
      <w:pPr>
        <w:pStyle w:val="Heading3"/>
      </w:pPr>
      <w:r>
        <w:t>Out of Band Masks</w:t>
      </w:r>
    </w:p>
    <w:p w14:paraId="161B3351" w14:textId="345CCE83" w:rsidR="00CD4C17" w:rsidRDefault="00353E9A" w:rsidP="00353E9A">
      <w:r>
        <w:t>If a UE has only the capability of operating using the L-band spectrum (</w:t>
      </w:r>
      <w:r w:rsidR="00CD4C17">
        <w:t xml:space="preserve">e.g. a UE which exclusively utilises </w:t>
      </w:r>
      <w:r>
        <w:t>band 25</w:t>
      </w:r>
      <w:r w:rsidR="00CD4C17">
        <w:t>1) the spectrum emissions mask which the UE must comply with is captured in Table 3 within ETSI EN 301 681.</w:t>
      </w:r>
    </w:p>
    <w:p w14:paraId="406FC085" w14:textId="5558B6DF" w:rsidR="001F5CC6" w:rsidRDefault="001F5CC6" w:rsidP="00353E9A">
      <w:r>
        <w:t>The spectrum emissions mask is as follows for Table 3:</w:t>
      </w:r>
    </w:p>
    <w:p w14:paraId="6D2DB982" w14:textId="77777777" w:rsidR="00272D03" w:rsidRDefault="00272D03" w:rsidP="00272D03">
      <w:pPr>
        <w:keepNext/>
        <w:jc w:val="center"/>
      </w:pPr>
      <w:r>
        <w:rPr>
          <w:noProof/>
        </w:rPr>
        <w:drawing>
          <wp:inline distT="0" distB="0" distL="0" distR="0" wp14:anchorId="7BEA6515" wp14:editId="4FDB03DC">
            <wp:extent cx="5172075" cy="3971925"/>
            <wp:effectExtent l="0" t="0" r="9525" b="9525"/>
            <wp:docPr id="880255496" name="Picture 1" descr="A graph of a graph of a band emiss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255496" name="Picture 1" descr="A graph of a graph of a band emission&#10;&#10;Description automatically generated with medium confidence"/>
                    <pic:cNvPicPr/>
                  </pic:nvPicPr>
                  <pic:blipFill>
                    <a:blip r:embed="rId16"/>
                    <a:stretch>
                      <a:fillRect/>
                    </a:stretch>
                  </pic:blipFill>
                  <pic:spPr>
                    <a:xfrm>
                      <a:off x="0" y="0"/>
                      <a:ext cx="5172075" cy="3971925"/>
                    </a:xfrm>
                    <a:prstGeom prst="rect">
                      <a:avLst/>
                    </a:prstGeom>
                  </pic:spPr>
                </pic:pic>
              </a:graphicData>
            </a:graphic>
          </wp:inline>
        </w:drawing>
      </w:r>
    </w:p>
    <w:p w14:paraId="27800FAF" w14:textId="4EF99630" w:rsidR="001F5CC6" w:rsidRPr="00353E9A" w:rsidRDefault="00272D03" w:rsidP="00272D03">
      <w:pPr>
        <w:pStyle w:val="Caption"/>
        <w:jc w:val="center"/>
      </w:pPr>
      <w:r>
        <w:t xml:space="preserve">Figure </w:t>
      </w:r>
      <w:r>
        <w:fldChar w:fldCharType="begin"/>
      </w:r>
      <w:r>
        <w:instrText xml:space="preserve"> SEQ Figure \* ARABIC </w:instrText>
      </w:r>
      <w:r>
        <w:fldChar w:fldCharType="separate"/>
      </w:r>
      <w:r w:rsidR="005B2D74">
        <w:rPr>
          <w:noProof/>
        </w:rPr>
        <w:t>1</w:t>
      </w:r>
      <w:r>
        <w:rPr>
          <w:noProof/>
        </w:rPr>
        <w:fldChar w:fldCharType="end"/>
      </w:r>
      <w:r>
        <w:t xml:space="preserve"> EN 301 681 Table 3 OOB SEM</w:t>
      </w:r>
    </w:p>
    <w:p w14:paraId="5CE3FEEE" w14:textId="18ABC274" w:rsidR="00AB341A" w:rsidRDefault="00AB341A" w:rsidP="00AB341A">
      <w:r>
        <w:t>If a UE has the capability of operating using any part of the extended L-band spectrum</w:t>
      </w:r>
      <w:r w:rsidR="008C3B97">
        <w:t xml:space="preserve"> (</w:t>
      </w:r>
      <w:r w:rsidR="00CD4C17">
        <w:t xml:space="preserve">e.g. a UE which exclusively utilises </w:t>
      </w:r>
      <w:r w:rsidR="008C3B97">
        <w:t>bands 253 and 250)</w:t>
      </w:r>
      <w:r>
        <w:t>, the spectrum emissions mask w</w:t>
      </w:r>
      <w:r w:rsidR="008C3B97">
        <w:t xml:space="preserve">hich the UE must comply with is captured in </w:t>
      </w:r>
      <w:r w:rsidR="00353E9A">
        <w:t>Table 3a</w:t>
      </w:r>
      <w:r w:rsidR="00CD4C17">
        <w:t xml:space="preserve"> within EN 301 681</w:t>
      </w:r>
      <w:r w:rsidR="00353E9A">
        <w:t>.</w:t>
      </w:r>
    </w:p>
    <w:p w14:paraId="0EE2A651" w14:textId="0175C3DA" w:rsidR="00272D03" w:rsidRDefault="00272D03" w:rsidP="00272D03">
      <w:r>
        <w:t>The spectrum emissions mask is as follows for Table 3a:</w:t>
      </w:r>
    </w:p>
    <w:p w14:paraId="651B1B61" w14:textId="77777777" w:rsidR="004E2054" w:rsidRDefault="004E2054" w:rsidP="004E2054">
      <w:pPr>
        <w:keepNext/>
        <w:jc w:val="center"/>
      </w:pPr>
      <w:r>
        <w:rPr>
          <w:noProof/>
        </w:rPr>
        <w:lastRenderedPageBreak/>
        <w:drawing>
          <wp:inline distT="0" distB="0" distL="0" distR="0" wp14:anchorId="23004A11" wp14:editId="5D262B17">
            <wp:extent cx="5153025" cy="3914775"/>
            <wp:effectExtent l="0" t="0" r="9525" b="9525"/>
            <wp:docPr id="6493533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353375" name=""/>
                    <pic:cNvPicPr/>
                  </pic:nvPicPr>
                  <pic:blipFill>
                    <a:blip r:embed="rId17"/>
                    <a:stretch>
                      <a:fillRect/>
                    </a:stretch>
                  </pic:blipFill>
                  <pic:spPr>
                    <a:xfrm>
                      <a:off x="0" y="0"/>
                      <a:ext cx="5153025" cy="3914775"/>
                    </a:xfrm>
                    <a:prstGeom prst="rect">
                      <a:avLst/>
                    </a:prstGeom>
                  </pic:spPr>
                </pic:pic>
              </a:graphicData>
            </a:graphic>
          </wp:inline>
        </w:drawing>
      </w:r>
    </w:p>
    <w:p w14:paraId="5756B14B" w14:textId="1EB7A6E0" w:rsidR="00CD4C17" w:rsidRPr="00AB341A" w:rsidRDefault="004E2054" w:rsidP="004E2054">
      <w:pPr>
        <w:pStyle w:val="Caption"/>
        <w:jc w:val="center"/>
      </w:pPr>
      <w:r>
        <w:t xml:space="preserve">Figure </w:t>
      </w:r>
      <w:r>
        <w:fldChar w:fldCharType="begin"/>
      </w:r>
      <w:r>
        <w:instrText xml:space="preserve"> SEQ Figure \* ARABIC </w:instrText>
      </w:r>
      <w:r>
        <w:fldChar w:fldCharType="separate"/>
      </w:r>
      <w:r w:rsidR="005B2D74">
        <w:rPr>
          <w:noProof/>
        </w:rPr>
        <w:t>2</w:t>
      </w:r>
      <w:r>
        <w:rPr>
          <w:noProof/>
        </w:rPr>
        <w:fldChar w:fldCharType="end"/>
      </w:r>
      <w:r>
        <w:t xml:space="preserve"> </w:t>
      </w:r>
      <w:r w:rsidRPr="00D0672B">
        <w:t xml:space="preserve">EN 301 681 Table </w:t>
      </w:r>
      <w:r>
        <w:t>3a</w:t>
      </w:r>
      <w:r w:rsidRPr="00D0672B">
        <w:t xml:space="preserve"> OOB SEM</w:t>
      </w:r>
    </w:p>
    <w:p w14:paraId="257033C6" w14:textId="56A3A09E" w:rsidR="00AB341A" w:rsidRPr="001F7AFE" w:rsidRDefault="001F7AFE" w:rsidP="00B855DB">
      <w:pPr>
        <w:pStyle w:val="Caption"/>
        <w:rPr>
          <w:b w:val="0"/>
          <w:bCs w:val="0"/>
          <w:i/>
          <w:iCs/>
        </w:rPr>
      </w:pPr>
      <w:bookmarkStart w:id="16" w:name="_Toc179739376"/>
      <w:r>
        <w:t xml:space="preserve">Observation </w:t>
      </w:r>
      <w:r w:rsidR="00B978CE">
        <w:t>8</w:t>
      </w:r>
      <w:r w:rsidR="00B855DB">
        <w:t>:</w:t>
      </w:r>
      <w:r>
        <w:rPr>
          <w:i/>
        </w:rPr>
        <w:t xml:space="preserve"> The ETSI EN 301 681 harmonized standard provides regulatory out of </w:t>
      </w:r>
      <w:r>
        <w:rPr>
          <w:i/>
          <w:iCs/>
        </w:rPr>
        <w:t>band spectrum emissions masks for ESD for</w:t>
      </w:r>
      <w:r w:rsidR="00A74C9C">
        <w:rPr>
          <w:i/>
          <w:iCs/>
        </w:rPr>
        <w:t xml:space="preserve"> L-band and extended L-band operation, which is applicable to</w:t>
      </w:r>
      <w:r>
        <w:rPr>
          <w:i/>
          <w:iCs/>
        </w:rPr>
        <w:t xml:space="preserve"> bands 253, 251 and 250.</w:t>
      </w:r>
      <w:bookmarkEnd w:id="16"/>
    </w:p>
    <w:p w14:paraId="0CA48696" w14:textId="33186C12" w:rsidR="00AB341A" w:rsidRDefault="00AB341A" w:rsidP="009564A2">
      <w:pPr>
        <w:pStyle w:val="Heading3"/>
      </w:pPr>
      <w:r>
        <w:t>In-band Mask</w:t>
      </w:r>
    </w:p>
    <w:p w14:paraId="425D62AF" w14:textId="03193B12" w:rsidR="00AB341A" w:rsidRDefault="00A74C9C" w:rsidP="00AB341A">
      <w:r>
        <w:t>The ETSI EN 301 681 also provides an in-band spectrum emissions mask, capture</w:t>
      </w:r>
      <w:r w:rsidR="00BB3B12">
        <w:t>d</w:t>
      </w:r>
      <w:r>
        <w:t xml:space="preserve"> in Table 4</w:t>
      </w:r>
      <w:r w:rsidR="00BB3B12">
        <w:t>a. The limits specified in the table are taken from the edge of the nominated bandwidth of the transmission.</w:t>
      </w:r>
      <w:r w:rsidR="00802BCE">
        <w:t xml:space="preserve"> The nominated bandwidth is declared by the UE manufacturer and is defined as follows:</w:t>
      </w:r>
    </w:p>
    <w:p w14:paraId="4C6CF488" w14:textId="67399479" w:rsidR="00802BCE" w:rsidRDefault="00802BCE" w:rsidP="00802BCE">
      <w:r>
        <w:rPr>
          <w:b/>
          <w:bCs/>
        </w:rPr>
        <w:t xml:space="preserve">Nominated bandwidth (Bn): </w:t>
      </w:r>
      <w:r w:rsidRPr="00802BCE">
        <w:t>bandwidth of the MES radio frequency transmission that is nominated by the applicant</w:t>
      </w:r>
      <w:r>
        <w:t xml:space="preserve"> </w:t>
      </w:r>
      <w:r w:rsidRPr="00802BCE">
        <w:t xml:space="preserve">and that is wide enough to encompass all spectral elements of the transmission necessary for communication and </w:t>
      </w:r>
      <w:r>
        <w:t xml:space="preserve">which </w:t>
      </w:r>
      <w:r w:rsidRPr="00802BCE">
        <w:t>have a level greater than the specified unwanted emissions limits; also the nominated bandwidth is centred on the</w:t>
      </w:r>
      <w:r>
        <w:t xml:space="preserve"> </w:t>
      </w:r>
      <w:r w:rsidRPr="00802BCE">
        <w:t>transmit frequency and does not exceed 180 % of the 3 dB bandwidth of the signal and is within the assigned part of the</w:t>
      </w:r>
      <w:r>
        <w:t xml:space="preserve"> </w:t>
      </w:r>
      <w:r w:rsidRPr="00802BCE">
        <w:t>MSS transmit frequency band within which the MES operates</w:t>
      </w:r>
      <w:r>
        <w:t>.</w:t>
      </w:r>
      <w:r w:rsidR="00C23DA1">
        <w:t xml:space="preserve"> NOTE: the nominated bandwidth is wide enough to </w:t>
      </w:r>
      <w:proofErr w:type="gramStart"/>
      <w:r w:rsidR="00C23DA1">
        <w:t>take into account</w:t>
      </w:r>
      <w:proofErr w:type="gramEnd"/>
      <w:r w:rsidR="00C23DA1">
        <w:t xml:space="preserve"> the transmit carrier frequency stability.</w:t>
      </w:r>
    </w:p>
    <w:p w14:paraId="6D207C01" w14:textId="1A421B33" w:rsidR="006240D9" w:rsidRPr="006240D9" w:rsidRDefault="006240D9" w:rsidP="00B855DB">
      <w:pPr>
        <w:pStyle w:val="Caption"/>
        <w:rPr>
          <w:b w:val="0"/>
          <w:bCs w:val="0"/>
          <w:i/>
          <w:iCs/>
        </w:rPr>
      </w:pPr>
      <w:bookmarkStart w:id="17" w:name="_Toc179739377"/>
      <w:r>
        <w:t xml:space="preserve">Observation </w:t>
      </w:r>
      <w:r w:rsidR="00B978CE">
        <w:t>9</w:t>
      </w:r>
      <w:r w:rsidR="00B855DB">
        <w:t>:</w:t>
      </w:r>
      <w:r w:rsidRPr="006240D9">
        <w:rPr>
          <w:i/>
        </w:rPr>
        <w:t xml:space="preserve"> ETSI EN 301 681 defines a nominated</w:t>
      </w:r>
      <w:r w:rsidR="00661150">
        <w:rPr>
          <w:i/>
          <w:iCs/>
        </w:rPr>
        <w:t xml:space="preserve"> transmission</w:t>
      </w:r>
      <w:r w:rsidRPr="006240D9">
        <w:rPr>
          <w:i/>
          <w:iCs/>
        </w:rPr>
        <w:t xml:space="preserve"> </w:t>
      </w:r>
      <w:r>
        <w:rPr>
          <w:i/>
          <w:iCs/>
        </w:rPr>
        <w:t>bandwidth, which can be as wide as 180% of the 3dB bandwidth of the signal of interest. The edge of the nominated bandwidth is where the in-band ETSI EN 301 681 spectrum emissions mask is taken from.</w:t>
      </w:r>
      <w:bookmarkEnd w:id="17"/>
    </w:p>
    <w:p w14:paraId="20393DCC" w14:textId="77777777" w:rsidR="00B72351" w:rsidRDefault="00A65643" w:rsidP="00B72351">
      <w:pPr>
        <w:keepNext/>
        <w:jc w:val="center"/>
      </w:pPr>
      <w:r>
        <w:rPr>
          <w:noProof/>
        </w:rPr>
        <w:lastRenderedPageBreak/>
        <w:drawing>
          <wp:inline distT="0" distB="0" distL="0" distR="0" wp14:anchorId="762020EA" wp14:editId="3F49C4BC">
            <wp:extent cx="4673600" cy="3588959"/>
            <wp:effectExtent l="0" t="0" r="0" b="0"/>
            <wp:docPr id="532621330" name="Picture 1" descr="A graph with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21330" name="Picture 1" descr="A graph with a line&#10;&#10;Description automatically generated"/>
                    <pic:cNvPicPr/>
                  </pic:nvPicPr>
                  <pic:blipFill>
                    <a:blip r:embed="rId18"/>
                    <a:stretch>
                      <a:fillRect/>
                    </a:stretch>
                  </pic:blipFill>
                  <pic:spPr>
                    <a:xfrm>
                      <a:off x="0" y="0"/>
                      <a:ext cx="4682997" cy="3596175"/>
                    </a:xfrm>
                    <a:prstGeom prst="rect">
                      <a:avLst/>
                    </a:prstGeom>
                  </pic:spPr>
                </pic:pic>
              </a:graphicData>
            </a:graphic>
          </wp:inline>
        </w:drawing>
      </w:r>
    </w:p>
    <w:p w14:paraId="0A7257EA" w14:textId="5F65EC4F" w:rsidR="00C23DA1" w:rsidRPr="006240D9" w:rsidRDefault="00B72351" w:rsidP="00B72351">
      <w:pPr>
        <w:pStyle w:val="Caption"/>
        <w:jc w:val="center"/>
      </w:pPr>
      <w:r>
        <w:t xml:space="preserve">Figure </w:t>
      </w:r>
      <w:r>
        <w:fldChar w:fldCharType="begin"/>
      </w:r>
      <w:r>
        <w:instrText xml:space="preserve"> SEQ Figure \* ARABIC </w:instrText>
      </w:r>
      <w:r>
        <w:fldChar w:fldCharType="separate"/>
      </w:r>
      <w:r w:rsidR="005B2D74">
        <w:rPr>
          <w:noProof/>
        </w:rPr>
        <w:t>3</w:t>
      </w:r>
      <w:r>
        <w:rPr>
          <w:noProof/>
        </w:rPr>
        <w:fldChar w:fldCharType="end"/>
      </w:r>
      <w:r>
        <w:t xml:space="preserve"> EN 301 681 Table 4a In-band Spectrum Emissions Mask</w:t>
      </w:r>
    </w:p>
    <w:p w14:paraId="2D4834C0" w14:textId="618032F3" w:rsidR="00802BCE" w:rsidRPr="00A10CE5" w:rsidRDefault="00B855DB" w:rsidP="00B855DB">
      <w:pPr>
        <w:pStyle w:val="Caption"/>
        <w:rPr>
          <w:b w:val="0"/>
          <w:bCs w:val="0"/>
          <w:i/>
          <w:iCs/>
        </w:rPr>
      </w:pPr>
      <w:bookmarkStart w:id="18" w:name="_Toc179739378"/>
      <w:r>
        <w:t xml:space="preserve">Observation </w:t>
      </w:r>
      <w:r w:rsidR="00B978CE">
        <w:t>10</w:t>
      </w:r>
      <w:r>
        <w:t>:</w:t>
      </w:r>
      <w:r w:rsidR="00A10CE5" w:rsidRPr="00A10CE5">
        <w:rPr>
          <w:i/>
          <w:iCs/>
        </w:rPr>
        <w:t xml:space="preserve"> ETSI EN 301 681 harmonized standard pro</w:t>
      </w:r>
      <w:r w:rsidR="00A10CE5">
        <w:rPr>
          <w:i/>
          <w:iCs/>
        </w:rPr>
        <w:t>vides regulatory in-band band spectrum emissions masks for ESD for L-band and extended L-band operation, which is applicable to bands 253, 251 and 250.</w:t>
      </w:r>
      <w:bookmarkEnd w:id="18"/>
    </w:p>
    <w:p w14:paraId="3955652B" w14:textId="37D8A182" w:rsidR="008F2CF6" w:rsidRDefault="008F2CF6" w:rsidP="009564A2">
      <w:pPr>
        <w:pStyle w:val="Heading3"/>
      </w:pPr>
      <w:r>
        <w:t xml:space="preserve">Protection </w:t>
      </w:r>
      <w:r w:rsidR="00647BAC">
        <w:t>MSS Big LEO bands</w:t>
      </w:r>
    </w:p>
    <w:p w14:paraId="281B8B19" w14:textId="7B9ADA86" w:rsidR="008F2CF6" w:rsidRDefault="00647BAC" w:rsidP="008F2CF6">
      <w:r>
        <w:t xml:space="preserve">The frequency bands in the </w:t>
      </w:r>
      <w:r w:rsidR="003C1114">
        <w:t>1616-</w:t>
      </w:r>
      <w:r w:rsidR="003A2EF0">
        <w:t>1626.5MHz</w:t>
      </w:r>
      <w:r>
        <w:t xml:space="preserve"> are licensed to other MSS operators</w:t>
      </w:r>
      <w:r w:rsidR="003A2EF0">
        <w:t xml:space="preserve">. The portion of this spectrum from 1626-1626.5MHz is licensed globally. The harmonized standard ETSI EN 301 681 </w:t>
      </w:r>
      <w:r w:rsidR="00255C08">
        <w:t xml:space="preserve">mandates a spectrum emission mask to protect </w:t>
      </w:r>
      <w:r w:rsidR="001228B0">
        <w:t>this</w:t>
      </w:r>
      <w:r w:rsidR="00255C08">
        <w:t xml:space="preserve"> band:</w:t>
      </w:r>
    </w:p>
    <w:p w14:paraId="2196982E" w14:textId="53F299CC" w:rsidR="00004133" w:rsidRDefault="0042641C" w:rsidP="00004133">
      <w:pPr>
        <w:keepNext/>
        <w:jc w:val="center"/>
      </w:pPr>
      <w:r>
        <w:rPr>
          <w:noProof/>
        </w:rPr>
        <w:lastRenderedPageBreak/>
        <w:drawing>
          <wp:inline distT="0" distB="0" distL="0" distR="0" wp14:anchorId="1D02F8B5" wp14:editId="5DE54D9A">
            <wp:extent cx="5248205" cy="3943350"/>
            <wp:effectExtent l="0" t="0" r="0" b="0"/>
            <wp:docPr id="2011924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24167"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5248205" cy="3943350"/>
                    </a:xfrm>
                    <a:prstGeom prst="rect">
                      <a:avLst/>
                    </a:prstGeom>
                  </pic:spPr>
                </pic:pic>
              </a:graphicData>
            </a:graphic>
          </wp:inline>
        </w:drawing>
      </w:r>
    </w:p>
    <w:p w14:paraId="1FC23695" w14:textId="5D1CF74A" w:rsidR="00255C08" w:rsidRDefault="00004133" w:rsidP="00004133">
      <w:pPr>
        <w:pStyle w:val="Caption"/>
        <w:jc w:val="center"/>
      </w:pPr>
      <w:r>
        <w:t xml:space="preserve">Figure </w:t>
      </w:r>
      <w:r>
        <w:fldChar w:fldCharType="begin"/>
      </w:r>
      <w:r>
        <w:instrText xml:space="preserve"> SEQ Figure \* ARABIC </w:instrText>
      </w:r>
      <w:r>
        <w:fldChar w:fldCharType="separate"/>
      </w:r>
      <w:r w:rsidR="005B2D74">
        <w:rPr>
          <w:noProof/>
        </w:rPr>
        <w:t>4</w:t>
      </w:r>
      <w:r>
        <w:rPr>
          <w:noProof/>
        </w:rPr>
        <w:fldChar w:fldCharType="end"/>
      </w:r>
      <w:r>
        <w:t xml:space="preserve"> </w:t>
      </w:r>
      <w:r w:rsidRPr="006D019F">
        <w:t>Spectrum Emissions Masks for EN 301 681</w:t>
      </w:r>
    </w:p>
    <w:p w14:paraId="32405C5F" w14:textId="662B1A62" w:rsidR="00004133" w:rsidRDefault="00004133" w:rsidP="00004133">
      <w:r>
        <w:t xml:space="preserve">Comparing the in-band mask to the </w:t>
      </w:r>
      <w:r w:rsidR="00770B61">
        <w:t xml:space="preserve">out of band mask for the lower band edge of the L-band spectrum (i.e. the edge which borders the </w:t>
      </w:r>
      <w:r w:rsidR="005C2214">
        <w:t>other operator’s</w:t>
      </w:r>
      <w:r w:rsidR="00770B61">
        <w:t xml:space="preserve"> spectrum), we can see that the </w:t>
      </w:r>
      <w:proofErr w:type="spellStart"/>
      <w:r w:rsidR="0042641C">
        <w:t>the</w:t>
      </w:r>
      <w:proofErr w:type="spellEnd"/>
      <w:r w:rsidR="0042641C">
        <w:t xml:space="preserve"> emissions limits imposed on this lower edge are up to 40dB more stringent when compared to the in-band mask.</w:t>
      </w:r>
    </w:p>
    <w:p w14:paraId="07DC1AC7" w14:textId="4D2EB6CC" w:rsidR="0042641C" w:rsidRDefault="008A6E5C" w:rsidP="00AA720F">
      <w:pPr>
        <w:pStyle w:val="Caption"/>
        <w:rPr>
          <w:b w:val="0"/>
          <w:bCs w:val="0"/>
          <w:i/>
        </w:rPr>
      </w:pPr>
      <w:bookmarkStart w:id="19" w:name="_Toc179739379"/>
      <w:r>
        <w:t>Observation</w:t>
      </w:r>
      <w:r w:rsidR="0042641C">
        <w:t xml:space="preserve"> </w:t>
      </w:r>
      <w:r w:rsidR="00B978CE">
        <w:t>11</w:t>
      </w:r>
      <w:r w:rsidR="00AA720F">
        <w:t>:</w:t>
      </w:r>
      <w:r w:rsidR="0042641C" w:rsidRPr="003C31BE">
        <w:rPr>
          <w:i/>
        </w:rPr>
        <w:t xml:space="preserve"> The ETSI EN 301 681 specification captures the </w:t>
      </w:r>
      <w:proofErr w:type="spellStart"/>
      <w:r w:rsidR="00DA582B" w:rsidRPr="003C31BE">
        <w:rPr>
          <w:i/>
        </w:rPr>
        <w:t>emisisons</w:t>
      </w:r>
      <w:proofErr w:type="spellEnd"/>
      <w:r w:rsidR="00DA582B" w:rsidRPr="003C31BE">
        <w:rPr>
          <w:i/>
        </w:rPr>
        <w:t xml:space="preserve"> requirements for the protection of the </w:t>
      </w:r>
      <w:r w:rsidR="00952FB1" w:rsidRPr="003C31BE">
        <w:rPr>
          <w:i/>
        </w:rPr>
        <w:t>other operators</w:t>
      </w:r>
      <w:r w:rsidR="00154753" w:rsidRPr="003C31BE">
        <w:rPr>
          <w:i/>
        </w:rPr>
        <w:t xml:space="preserve"> transmitting at 1626-1626.</w:t>
      </w:r>
      <w:proofErr w:type="gramStart"/>
      <w:r w:rsidR="00154753" w:rsidRPr="003C31BE">
        <w:rPr>
          <w:i/>
        </w:rPr>
        <w:t>5MHz</w:t>
      </w:r>
      <w:r w:rsidR="00227941" w:rsidRPr="003C31BE">
        <w:rPr>
          <w:i/>
        </w:rPr>
        <w:t>, and</w:t>
      </w:r>
      <w:proofErr w:type="gramEnd"/>
      <w:r w:rsidR="00227941" w:rsidRPr="003C31BE">
        <w:rPr>
          <w:i/>
        </w:rPr>
        <w:t xml:space="preserve"> is sufficient to guarantee the protection of systems operating in th</w:t>
      </w:r>
      <w:r w:rsidR="001E1FA2" w:rsidRPr="003C31BE">
        <w:rPr>
          <w:i/>
        </w:rPr>
        <w:t>is band.</w:t>
      </w:r>
      <w:bookmarkEnd w:id="19"/>
    </w:p>
    <w:p w14:paraId="1ECB1FE5" w14:textId="2F858224" w:rsidR="00AD17DC" w:rsidRDefault="00880B64" w:rsidP="006E1790">
      <w:pPr>
        <w:pStyle w:val="Heading2"/>
      </w:pPr>
      <w:r>
        <w:t>FCC Part 25</w:t>
      </w:r>
    </w:p>
    <w:p w14:paraId="19FD1BA2" w14:textId="5B41A513" w:rsidR="00880B64" w:rsidRDefault="00B36353" w:rsidP="00880B64">
      <w:r>
        <w:t>The FCC mandates spectrum emissions requirements depending on the nominate</w:t>
      </w:r>
      <w:r w:rsidR="00D236E7">
        <w:t>d</w:t>
      </w:r>
      <w:r>
        <w:t xml:space="preserve"> transmission bandwidth of the UE and the </w:t>
      </w:r>
      <w:r w:rsidR="007D2C90">
        <w:t>mean transmitter</w:t>
      </w:r>
      <w:r>
        <w:t xml:space="preserve"> power of the UE.</w:t>
      </w:r>
      <w:r w:rsidR="00D7714C">
        <w:t xml:space="preserve"> The FCC specifies the attenuation </w:t>
      </w:r>
      <w:r w:rsidR="000063A9">
        <w:t xml:space="preserve">with reference to the UE </w:t>
      </w:r>
      <w:r w:rsidR="00310D49">
        <w:t>mean</w:t>
      </w:r>
      <w:r w:rsidR="000063A9">
        <w:t xml:space="preserve"> transmit power</w:t>
      </w:r>
      <w:r w:rsidR="005B2D74">
        <w:t xml:space="preserve"> over a measurement bandwidth of 4kHz</w:t>
      </w:r>
      <w:r w:rsidR="000063A9">
        <w:t>, the magnitude of which varies depending on the transmit power.</w:t>
      </w:r>
      <w:r>
        <w:t xml:space="preserve"> </w:t>
      </w:r>
      <w:r w:rsidR="00F41240">
        <w:t>I</w:t>
      </w:r>
      <w:r w:rsidR="00C60514">
        <w:t xml:space="preserve">n the following sections </w:t>
      </w:r>
      <w:r w:rsidR="00F41240">
        <w:t>we assume that the UE has an EIRP of -7dBW (i.e. a PC3 device with a 0dBi antenna)</w:t>
      </w:r>
      <w:r w:rsidR="00775885">
        <w:t xml:space="preserve">, and that the channel has been allocated directly adjacent to the </w:t>
      </w:r>
      <w:r w:rsidR="00D04F63">
        <w:t>edge of band</w:t>
      </w:r>
      <w:r w:rsidR="00F41240">
        <w:t>.</w:t>
      </w:r>
    </w:p>
    <w:p w14:paraId="58879CCF" w14:textId="7C4C4A61" w:rsidR="009524FB" w:rsidRDefault="009524FB" w:rsidP="006E1790">
      <w:pPr>
        <w:pStyle w:val="Heading3"/>
      </w:pPr>
      <w:r>
        <w:lastRenderedPageBreak/>
        <w:t>NR CHBW – 5MHz</w:t>
      </w:r>
    </w:p>
    <w:p w14:paraId="4040BBD2" w14:textId="77777777" w:rsidR="005B2D74" w:rsidRDefault="00D04F63" w:rsidP="005B2D74">
      <w:pPr>
        <w:keepNext/>
        <w:jc w:val="center"/>
      </w:pPr>
      <w:r>
        <w:rPr>
          <w:noProof/>
        </w:rPr>
        <w:drawing>
          <wp:inline distT="0" distB="0" distL="0" distR="0" wp14:anchorId="5EE59240" wp14:editId="0308538C">
            <wp:extent cx="5003800" cy="3805837"/>
            <wp:effectExtent l="0" t="0" r="6350" b="4445"/>
            <wp:docPr id="1381175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175964" name=""/>
                    <pic:cNvPicPr/>
                  </pic:nvPicPr>
                  <pic:blipFill>
                    <a:blip r:embed="rId20"/>
                    <a:stretch>
                      <a:fillRect/>
                    </a:stretch>
                  </pic:blipFill>
                  <pic:spPr>
                    <a:xfrm>
                      <a:off x="0" y="0"/>
                      <a:ext cx="5005380" cy="3807039"/>
                    </a:xfrm>
                    <a:prstGeom prst="rect">
                      <a:avLst/>
                    </a:prstGeom>
                  </pic:spPr>
                </pic:pic>
              </a:graphicData>
            </a:graphic>
          </wp:inline>
        </w:drawing>
      </w:r>
    </w:p>
    <w:p w14:paraId="53C2FE67" w14:textId="086C42BC" w:rsidR="00D04F63" w:rsidRDefault="005B2D74" w:rsidP="005B2D74">
      <w:pPr>
        <w:pStyle w:val="Caption"/>
        <w:jc w:val="center"/>
      </w:pPr>
      <w:r>
        <w:t xml:space="preserve">Figure </w:t>
      </w:r>
      <w:r>
        <w:fldChar w:fldCharType="begin"/>
      </w:r>
      <w:r>
        <w:instrText xml:space="preserve"> SEQ Figure \* ARABIC </w:instrText>
      </w:r>
      <w:r>
        <w:fldChar w:fldCharType="separate"/>
      </w:r>
      <w:r>
        <w:rPr>
          <w:noProof/>
        </w:rPr>
        <w:t>5</w:t>
      </w:r>
      <w:r>
        <w:rPr>
          <w:noProof/>
        </w:rPr>
        <w:fldChar w:fldCharType="end"/>
      </w:r>
      <w:r>
        <w:t xml:space="preserve"> FCC Part 25 SEM - 5MHz CHBW</w:t>
      </w:r>
    </w:p>
    <w:p w14:paraId="6C9AB7A7" w14:textId="14882FA2" w:rsidR="00D04F63" w:rsidRDefault="00D04F63" w:rsidP="006E1790">
      <w:pPr>
        <w:pStyle w:val="Heading3"/>
      </w:pPr>
      <w:r>
        <w:lastRenderedPageBreak/>
        <w:t>NR CHBW - 10MHz</w:t>
      </w:r>
    </w:p>
    <w:p w14:paraId="134CDA31" w14:textId="77777777" w:rsidR="005B2D74" w:rsidRDefault="00B86DDA" w:rsidP="005B2D74">
      <w:pPr>
        <w:keepNext/>
        <w:jc w:val="center"/>
      </w:pPr>
      <w:r>
        <w:rPr>
          <w:noProof/>
        </w:rPr>
        <w:drawing>
          <wp:inline distT="0" distB="0" distL="0" distR="0" wp14:anchorId="31D9A39B" wp14:editId="06CB4614">
            <wp:extent cx="5267325" cy="3933825"/>
            <wp:effectExtent l="0" t="0" r="9525" b="9525"/>
            <wp:docPr id="662309841" name="Picture 1" descr="A graph of a radio wa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309841" name="Picture 1" descr="A graph of a radio wave&#10;&#10;Description automatically generated with medium confidence"/>
                    <pic:cNvPicPr/>
                  </pic:nvPicPr>
                  <pic:blipFill>
                    <a:blip r:embed="rId21"/>
                    <a:stretch>
                      <a:fillRect/>
                    </a:stretch>
                  </pic:blipFill>
                  <pic:spPr>
                    <a:xfrm>
                      <a:off x="0" y="0"/>
                      <a:ext cx="5267325" cy="3933825"/>
                    </a:xfrm>
                    <a:prstGeom prst="rect">
                      <a:avLst/>
                    </a:prstGeom>
                  </pic:spPr>
                </pic:pic>
              </a:graphicData>
            </a:graphic>
          </wp:inline>
        </w:drawing>
      </w:r>
    </w:p>
    <w:p w14:paraId="6521ACFA" w14:textId="432B4DAA" w:rsidR="00D04F63" w:rsidRDefault="005B2D74" w:rsidP="005B2D74">
      <w:pPr>
        <w:pStyle w:val="Caption"/>
        <w:jc w:val="center"/>
      </w:pPr>
      <w:r>
        <w:t xml:space="preserve">Figure </w:t>
      </w:r>
      <w:r>
        <w:fldChar w:fldCharType="begin"/>
      </w:r>
      <w:r>
        <w:instrText xml:space="preserve"> SEQ Figure \* ARABIC </w:instrText>
      </w:r>
      <w:r>
        <w:fldChar w:fldCharType="separate"/>
      </w:r>
      <w:r>
        <w:rPr>
          <w:noProof/>
        </w:rPr>
        <w:t>6</w:t>
      </w:r>
      <w:r>
        <w:rPr>
          <w:noProof/>
        </w:rPr>
        <w:fldChar w:fldCharType="end"/>
      </w:r>
      <w:r>
        <w:t xml:space="preserve"> FCC Part 25 SEM - 10MHz CHBW</w:t>
      </w:r>
    </w:p>
    <w:p w14:paraId="301906A7" w14:textId="4C51E031" w:rsidR="00B86DDA" w:rsidRDefault="00B86DDA" w:rsidP="006E1790">
      <w:pPr>
        <w:pStyle w:val="Heading3"/>
      </w:pPr>
      <w:r>
        <w:lastRenderedPageBreak/>
        <w:t>NR CHBW - 20MHz</w:t>
      </w:r>
    </w:p>
    <w:p w14:paraId="6C9AF0F0" w14:textId="77777777" w:rsidR="005B2D74" w:rsidRDefault="005B2D74" w:rsidP="005B2D74">
      <w:pPr>
        <w:keepNext/>
        <w:jc w:val="center"/>
      </w:pPr>
      <w:r>
        <w:rPr>
          <w:noProof/>
        </w:rPr>
        <w:drawing>
          <wp:inline distT="0" distB="0" distL="0" distR="0" wp14:anchorId="60249E31" wp14:editId="0CA3F8F9">
            <wp:extent cx="5210175" cy="3905250"/>
            <wp:effectExtent l="0" t="0" r="9525" b="0"/>
            <wp:docPr id="1237554145" name="Picture 1" descr="A graph of a radio wa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554145" name="Picture 1" descr="A graph of a radio wave&#10;&#10;Description automatically generated with medium confidence"/>
                    <pic:cNvPicPr/>
                  </pic:nvPicPr>
                  <pic:blipFill>
                    <a:blip r:embed="rId22"/>
                    <a:stretch>
                      <a:fillRect/>
                    </a:stretch>
                  </pic:blipFill>
                  <pic:spPr>
                    <a:xfrm>
                      <a:off x="0" y="0"/>
                      <a:ext cx="5210175" cy="3905250"/>
                    </a:xfrm>
                    <a:prstGeom prst="rect">
                      <a:avLst/>
                    </a:prstGeom>
                  </pic:spPr>
                </pic:pic>
              </a:graphicData>
            </a:graphic>
          </wp:inline>
        </w:drawing>
      </w:r>
    </w:p>
    <w:p w14:paraId="2B6A8264" w14:textId="78A8B521" w:rsidR="00B86DDA" w:rsidRDefault="005B2D74" w:rsidP="005B2D74">
      <w:pPr>
        <w:pStyle w:val="Caption"/>
        <w:jc w:val="center"/>
      </w:pPr>
      <w:r>
        <w:t xml:space="preserve">Figure </w:t>
      </w:r>
      <w:r>
        <w:fldChar w:fldCharType="begin"/>
      </w:r>
      <w:r>
        <w:instrText xml:space="preserve"> SEQ Figure \* ARABIC </w:instrText>
      </w:r>
      <w:r>
        <w:fldChar w:fldCharType="separate"/>
      </w:r>
      <w:r>
        <w:rPr>
          <w:noProof/>
        </w:rPr>
        <w:t>7</w:t>
      </w:r>
      <w:r>
        <w:rPr>
          <w:noProof/>
        </w:rPr>
        <w:fldChar w:fldCharType="end"/>
      </w:r>
      <w:r>
        <w:t xml:space="preserve"> FCC part 25 SEM - 20MHz CHBW</w:t>
      </w:r>
    </w:p>
    <w:p w14:paraId="1BBCBB8D" w14:textId="7A92A765" w:rsidR="005B2D74" w:rsidRDefault="005B2D74" w:rsidP="00AA720F">
      <w:pPr>
        <w:pStyle w:val="Caption"/>
        <w:rPr>
          <w:i/>
        </w:rPr>
      </w:pPr>
      <w:bookmarkStart w:id="20" w:name="_Toc179739380"/>
      <w:r>
        <w:t xml:space="preserve">Observation </w:t>
      </w:r>
      <w:r w:rsidR="00B978CE">
        <w:t>12</w:t>
      </w:r>
      <w:r w:rsidR="00AA720F">
        <w:t>:</w:t>
      </w:r>
      <w:r>
        <w:rPr>
          <w:i/>
        </w:rPr>
        <w:t xml:space="preserve"> The FCC Part 25 regulations specify an SEM for attenuation from maximum transmit power. The stringency of this SEM depends on the channel bandwidth of the transmission and the transmit power of the UE.</w:t>
      </w:r>
      <w:bookmarkEnd w:id="20"/>
    </w:p>
    <w:p w14:paraId="1762D698" w14:textId="77777777" w:rsidR="00F12B22" w:rsidRPr="00F12B22" w:rsidRDefault="00F12B22" w:rsidP="00F12B22"/>
    <w:p w14:paraId="2AF067D6" w14:textId="1B5921D1" w:rsidR="004F3F3A" w:rsidRPr="004F3F3A" w:rsidRDefault="004F3F3A" w:rsidP="004F3F3A">
      <w:pPr>
        <w:pStyle w:val="Heading2"/>
      </w:pPr>
      <w:r>
        <w:t>Application and Testing of Requirements</w:t>
      </w:r>
    </w:p>
    <w:p w14:paraId="126653AE" w14:textId="77777777" w:rsidR="004F3F3A" w:rsidRDefault="004F3F3A" w:rsidP="004F3F3A">
      <w:r>
        <w:t>In previous meetings, the point has been raised as to how a radiated requirement as specified by ETSI. The ETSI EN 301 681 harmonized standard specifies a method by which a device can be tested for compliance to radiated requirements by means of conducted tests.</w:t>
      </w:r>
    </w:p>
    <w:p w14:paraId="7AA4FD45" w14:textId="77777777" w:rsidR="004F3F3A" w:rsidRDefault="004F3F3A" w:rsidP="004F3F3A">
      <w:r>
        <w:t>Section 5.2.1.4.6 defines a methodology by which ETSI mandates radiated compliance can be discerned from conducted tests. A device can be considered compliant to ETSI if the tests are carried out via a conducted interface using the framework specified in this section, using the same test parameters as specified in the relevant test section e.g. frequency and measurement bandwidth.</w:t>
      </w:r>
    </w:p>
    <w:p w14:paraId="26952FB6" w14:textId="77777777" w:rsidR="004F3F3A" w:rsidRDefault="004F3F3A" w:rsidP="004F3F3A">
      <w:r>
        <w:t xml:space="preserve">The results from these must be then added to the highest antenna gain in the antenna beam pattern at the frequency of interest. </w:t>
      </w:r>
      <w:proofErr w:type="gramStart"/>
      <w:r>
        <w:t>Therefore</w:t>
      </w:r>
      <w:proofErr w:type="gramEnd"/>
      <w:r>
        <w:t xml:space="preserve"> a full characterisation of the antenna must be obtained for the whole range of frequencies that are to be tested.</w:t>
      </w:r>
    </w:p>
    <w:p w14:paraId="44542578" w14:textId="2D326C5A" w:rsidR="004F3F3A" w:rsidRDefault="004F3F3A" w:rsidP="00AA720F">
      <w:pPr>
        <w:pStyle w:val="Caption"/>
        <w:rPr>
          <w:b w:val="0"/>
          <w:bCs w:val="0"/>
          <w:i/>
          <w:iCs/>
        </w:rPr>
      </w:pPr>
      <w:bookmarkStart w:id="21" w:name="_Toc179739381"/>
      <w:r>
        <w:t xml:space="preserve">Observation </w:t>
      </w:r>
      <w:r w:rsidR="00B978CE">
        <w:t>13</w:t>
      </w:r>
      <w:r w:rsidR="00AA720F">
        <w:t>:</w:t>
      </w:r>
      <w:r>
        <w:rPr>
          <w:i/>
        </w:rPr>
        <w:t xml:space="preserve"> Compliance to the ETSI EN 301 681 requirements can be verified via a conducted interface, with the highest antenna gain at the frequency of interest being added to the PSD of each test point to assess compliance to the emissions masks specified in the EN 301 681 standard.</w:t>
      </w:r>
      <w:bookmarkEnd w:id="21"/>
    </w:p>
    <w:p w14:paraId="6B2E49F4" w14:textId="34E58C0F" w:rsidR="004F3F3A" w:rsidRDefault="004F3F3A" w:rsidP="00AA720F">
      <w:pPr>
        <w:pStyle w:val="Caption"/>
        <w:rPr>
          <w:b w:val="0"/>
          <w:bCs w:val="0"/>
          <w:i/>
          <w:iCs/>
        </w:rPr>
      </w:pPr>
      <w:bookmarkStart w:id="22" w:name="_Toc179739616"/>
      <w:r>
        <w:t xml:space="preserve">Proposal </w:t>
      </w:r>
      <w:r w:rsidR="00BD37C6">
        <w:t>9</w:t>
      </w:r>
      <w:r>
        <w:fldChar w:fldCharType="begin"/>
      </w:r>
      <w:r>
        <w:instrText xml:space="preserve"> SEQ Proposal \* ARABIC </w:instrText>
      </w:r>
      <w:r w:rsidR="004A2450">
        <w:fldChar w:fldCharType="separate"/>
      </w:r>
      <w:r>
        <w:fldChar w:fldCharType="end"/>
      </w:r>
      <w:r w:rsidR="00AA720F">
        <w:t>:</w:t>
      </w:r>
      <w:r>
        <w:rPr>
          <w:i/>
        </w:rPr>
        <w:t xml:space="preserve"> The option to assess compliance to ETSI EN 301 681 radiated requirements by conducted means should be captured in a note within the specification, stating that antenna characteristics over the full frequency range are required </w:t>
      </w:r>
      <w:proofErr w:type="gramStart"/>
      <w:r>
        <w:rPr>
          <w:i/>
        </w:rPr>
        <w:t>in order to</w:t>
      </w:r>
      <w:proofErr w:type="gramEnd"/>
      <w:r>
        <w:rPr>
          <w:i/>
        </w:rPr>
        <w:t xml:space="preserve"> suitable assess the compliance to these radiated requirements.</w:t>
      </w:r>
      <w:bookmarkEnd w:id="22"/>
    </w:p>
    <w:p w14:paraId="55E8CA3E" w14:textId="219C43B8" w:rsidR="004F3F3A" w:rsidRPr="00AA720F" w:rsidRDefault="004F3F3A" w:rsidP="00AA720F">
      <w:pPr>
        <w:pStyle w:val="Caption"/>
        <w:rPr>
          <w:i/>
        </w:rPr>
      </w:pPr>
      <w:bookmarkStart w:id="23" w:name="_Toc179739617"/>
      <w:r>
        <w:t xml:space="preserve">Proposal </w:t>
      </w:r>
      <w:r w:rsidR="00BD37C6">
        <w:t>10</w:t>
      </w:r>
      <w:r>
        <w:fldChar w:fldCharType="begin"/>
      </w:r>
      <w:r>
        <w:instrText xml:space="preserve"> SEQ Proposal \* ARABIC </w:instrText>
      </w:r>
      <w:r w:rsidR="004A2450">
        <w:fldChar w:fldCharType="separate"/>
      </w:r>
      <w:r>
        <w:fldChar w:fldCharType="end"/>
      </w:r>
      <w:r w:rsidR="00AA720F">
        <w:t>:</w:t>
      </w:r>
      <w:r>
        <w:rPr>
          <w:b w:val="0"/>
          <w:i/>
        </w:rPr>
        <w:t xml:space="preserve"> </w:t>
      </w:r>
      <w:r w:rsidRPr="00AA720F">
        <w:rPr>
          <w:i/>
        </w:rPr>
        <w:t xml:space="preserve">This </w:t>
      </w:r>
      <w:r w:rsidR="00983CD8" w:rsidRPr="00AA720F">
        <w:rPr>
          <w:i/>
        </w:rPr>
        <w:t>approach</w:t>
      </w:r>
      <w:r w:rsidRPr="00AA720F">
        <w:rPr>
          <w:i/>
        </w:rPr>
        <w:t xml:space="preserve"> to assess compliance </w:t>
      </w:r>
      <w:r w:rsidR="00983CD8" w:rsidRPr="00AA720F">
        <w:rPr>
          <w:i/>
        </w:rPr>
        <w:t>to</w:t>
      </w:r>
      <w:r w:rsidRPr="00AA720F">
        <w:rPr>
          <w:i/>
        </w:rPr>
        <w:t xml:space="preserve"> ETSI EN 301 681 should also be considered for FCC part 25.202</w:t>
      </w:r>
      <w:r w:rsidR="00037773" w:rsidRPr="00AA720F">
        <w:rPr>
          <w:i/>
        </w:rPr>
        <w:t>. With the radiated requirements being ascertained by conducted means</w:t>
      </w:r>
      <w:r w:rsidR="006D6CEB" w:rsidRPr="00AA720F">
        <w:rPr>
          <w:i/>
        </w:rPr>
        <w:t xml:space="preserve"> and the radiated requirements can be </w:t>
      </w:r>
      <w:r w:rsidR="006D6CEB" w:rsidRPr="00AA720F">
        <w:rPr>
          <w:i/>
        </w:rPr>
        <w:lastRenderedPageBreak/>
        <w:t>discerned for regulatory approval using an appropriate characterisation of the UE antenna over the required frequency response. This process should also be captures in a note within the specification.</w:t>
      </w:r>
      <w:bookmarkEnd w:id="23"/>
    </w:p>
    <w:p w14:paraId="2431C948" w14:textId="77777777" w:rsidR="0043593B" w:rsidRDefault="0043593B" w:rsidP="0043593B"/>
    <w:p w14:paraId="1694260A" w14:textId="77777777" w:rsidR="0043593B" w:rsidRPr="0043593B" w:rsidRDefault="0043593B" w:rsidP="0043593B"/>
    <w:p w14:paraId="69A27753" w14:textId="637E71ED" w:rsidR="00FB5B05" w:rsidRDefault="00FB5B05" w:rsidP="00321C1E">
      <w:pPr>
        <w:pStyle w:val="Heading1"/>
      </w:pPr>
      <w:r>
        <w:t>Conclusions</w:t>
      </w:r>
    </w:p>
    <w:p w14:paraId="4F59B371" w14:textId="5D494015" w:rsidR="003A3C26" w:rsidRDefault="003A3C26" w:rsidP="003A3C26">
      <w:r>
        <w:t>The following observations and proposals are summarized as follows:</w:t>
      </w:r>
    </w:p>
    <w:p w14:paraId="56843C74" w14:textId="77777777" w:rsidR="00B978CE" w:rsidRPr="00141397" w:rsidRDefault="00B978CE" w:rsidP="00B978CE">
      <w:pPr>
        <w:keepNext/>
        <w:rPr>
          <w:b/>
          <w:i/>
        </w:rPr>
      </w:pPr>
      <w:r w:rsidRPr="00141397">
        <w:rPr>
          <w:b/>
          <w:i/>
        </w:rPr>
        <w:t xml:space="preserve">Observation </w:t>
      </w:r>
      <w:r w:rsidRPr="00141397">
        <w:rPr>
          <w:b/>
          <w:i/>
        </w:rPr>
        <w:fldChar w:fldCharType="begin"/>
      </w:r>
      <w:r w:rsidRPr="00141397">
        <w:rPr>
          <w:b/>
          <w:i/>
        </w:rPr>
        <w:instrText xml:space="preserve"> SEQ Observation \* ARABIC </w:instrText>
      </w:r>
      <w:r w:rsidRPr="00141397">
        <w:rPr>
          <w:b/>
          <w:i/>
        </w:rPr>
        <w:fldChar w:fldCharType="separate"/>
      </w:r>
      <w:r w:rsidRPr="00141397">
        <w:rPr>
          <w:b/>
          <w:i/>
        </w:rPr>
        <w:t>1</w:t>
      </w:r>
      <w:r w:rsidRPr="00141397">
        <w:rPr>
          <w:b/>
          <w:i/>
        </w:rPr>
        <w:fldChar w:fldCharType="end"/>
      </w:r>
      <w:r w:rsidRPr="00141397">
        <w:rPr>
          <w:b/>
          <w:i/>
        </w:rPr>
        <w:t>:</w:t>
      </w:r>
      <w:r w:rsidRPr="00141397">
        <w:rPr>
          <w:i/>
        </w:rPr>
        <w:t xml:space="preserve"> </w:t>
      </w:r>
      <w:proofErr w:type="gramStart"/>
      <w:r w:rsidRPr="00141397">
        <w:rPr>
          <w:b/>
          <w:i/>
        </w:rPr>
        <w:t>The majority of</w:t>
      </w:r>
      <w:proofErr w:type="gramEnd"/>
      <w:r w:rsidRPr="00141397">
        <w:rPr>
          <w:b/>
          <w:i/>
        </w:rPr>
        <w:t xml:space="preserve"> the existing regulatory requirements for emission limits in MSS bands, with main exception in the FCC Part 25, are specified as radiated requirements in the form of EIRP limits.</w:t>
      </w:r>
    </w:p>
    <w:p w14:paraId="2A102461" w14:textId="77777777" w:rsidR="00B978CE" w:rsidRPr="00141397" w:rsidRDefault="00B978CE" w:rsidP="00B978CE">
      <w:pPr>
        <w:pStyle w:val="Caption"/>
        <w:rPr>
          <w:b w:val="0"/>
          <w:i/>
        </w:rPr>
      </w:pPr>
      <w:r w:rsidRPr="00141397">
        <w:rPr>
          <w:i/>
        </w:rPr>
        <w:t xml:space="preserve">Proposal </w:t>
      </w:r>
      <w:r w:rsidRPr="00141397">
        <w:rPr>
          <w:i/>
        </w:rPr>
        <w:fldChar w:fldCharType="begin"/>
      </w:r>
      <w:r w:rsidRPr="00141397">
        <w:rPr>
          <w:i/>
        </w:rPr>
        <w:instrText xml:space="preserve"> SEQ Proposal \* ARABIC </w:instrText>
      </w:r>
      <w:r w:rsidRPr="00141397">
        <w:rPr>
          <w:i/>
        </w:rPr>
        <w:fldChar w:fldCharType="separate"/>
      </w:r>
      <w:r>
        <w:rPr>
          <w:i/>
        </w:rPr>
        <w:t>1</w:t>
      </w:r>
      <w:r w:rsidRPr="00141397">
        <w:rPr>
          <w:i/>
        </w:rPr>
        <w:fldChar w:fldCharType="end"/>
      </w:r>
      <w:r w:rsidRPr="00141397">
        <w:rPr>
          <w:i/>
        </w:rPr>
        <w:t xml:space="preserve">: 3GPP should identify the appropriate methodology to capture radiated regulatory requirements in the specification(s), in such a way that ensures compliance to regulations in all operational </w:t>
      </w:r>
      <w:proofErr w:type="gramStart"/>
      <w:r w:rsidRPr="00141397">
        <w:rPr>
          <w:i/>
        </w:rPr>
        <w:t>scenarios, but</w:t>
      </w:r>
      <w:proofErr w:type="gramEnd"/>
      <w:r w:rsidRPr="00141397">
        <w:rPr>
          <w:i/>
        </w:rPr>
        <w:t xml:space="preserve"> does not create unnecessary implementation burden.</w:t>
      </w:r>
    </w:p>
    <w:p w14:paraId="485068D7" w14:textId="77777777" w:rsidR="00B978CE" w:rsidRPr="00141397" w:rsidRDefault="00B978CE" w:rsidP="00B978CE">
      <w:pPr>
        <w:pStyle w:val="Caption"/>
        <w:rPr>
          <w:b w:val="0"/>
          <w:i/>
        </w:rPr>
      </w:pPr>
      <w:r w:rsidRPr="00141397">
        <w:rPr>
          <w:i/>
        </w:rPr>
        <w:t xml:space="preserve">Proposal </w:t>
      </w:r>
      <w:r w:rsidRPr="00141397">
        <w:rPr>
          <w:i/>
        </w:rPr>
        <w:fldChar w:fldCharType="begin"/>
      </w:r>
      <w:r w:rsidRPr="00141397">
        <w:rPr>
          <w:i/>
        </w:rPr>
        <w:instrText xml:space="preserve"> SEQ Proposal \* ARABIC </w:instrText>
      </w:r>
      <w:r w:rsidRPr="00141397">
        <w:rPr>
          <w:i/>
        </w:rPr>
        <w:fldChar w:fldCharType="separate"/>
      </w:r>
      <w:r>
        <w:rPr>
          <w:i/>
        </w:rPr>
        <w:t>2</w:t>
      </w:r>
      <w:r w:rsidRPr="00141397">
        <w:rPr>
          <w:i/>
        </w:rPr>
        <w:fldChar w:fldCharType="end"/>
      </w:r>
      <w:r w:rsidRPr="00141397">
        <w:rPr>
          <w:i/>
        </w:rPr>
        <w:t>: 3GPP is already in the process of defining FR1 OTA radiated requirements for UE.  A possible approach could be the introduction of these requirements under new sections on OTA radiated requirements in the corresponding UE RF specs.</w:t>
      </w:r>
      <w:r w:rsidRPr="00141397">
        <w:rPr>
          <w:b w:val="0"/>
          <w:i/>
        </w:rPr>
        <w:t xml:space="preserve"> </w:t>
      </w:r>
    </w:p>
    <w:p w14:paraId="5C176C02" w14:textId="2EFF3A4C" w:rsidR="00B978CE" w:rsidRPr="00B978CE" w:rsidRDefault="00B978CE" w:rsidP="00A822F9">
      <w:pPr>
        <w:pStyle w:val="Caption"/>
        <w:rPr>
          <w:i/>
        </w:rPr>
      </w:pPr>
      <w:r w:rsidRPr="00141397">
        <w:rPr>
          <w:i/>
        </w:rPr>
        <w:t xml:space="preserve">Proposal </w:t>
      </w:r>
      <w:r w:rsidRPr="00141397">
        <w:rPr>
          <w:i/>
        </w:rPr>
        <w:fldChar w:fldCharType="begin"/>
      </w:r>
      <w:r w:rsidRPr="00141397">
        <w:rPr>
          <w:i/>
        </w:rPr>
        <w:instrText xml:space="preserve"> SEQ Proposal \* ARABIC </w:instrText>
      </w:r>
      <w:r w:rsidRPr="00141397">
        <w:rPr>
          <w:i/>
        </w:rPr>
        <w:fldChar w:fldCharType="separate"/>
      </w:r>
      <w:r>
        <w:rPr>
          <w:i/>
        </w:rPr>
        <w:t>3</w:t>
      </w:r>
      <w:r w:rsidRPr="00141397">
        <w:rPr>
          <w:i/>
        </w:rPr>
        <w:fldChar w:fldCharType="end"/>
      </w:r>
      <w:r w:rsidRPr="00141397">
        <w:rPr>
          <w:i/>
        </w:rPr>
        <w:t>: Whether there is a need for conversion of regulatory emission limits from radiated to conducted requirements should also be further discussed</w:t>
      </w:r>
    </w:p>
    <w:p w14:paraId="145330CF" w14:textId="77777777" w:rsidR="00B978CE" w:rsidRDefault="00B978CE" w:rsidP="00A822F9">
      <w:pPr>
        <w:pStyle w:val="Caption"/>
        <w:rPr>
          <w:i/>
          <w:iCs/>
        </w:rPr>
      </w:pPr>
    </w:p>
    <w:p w14:paraId="4A6534EE" w14:textId="09978197" w:rsidR="00A822F9" w:rsidRPr="00A822F9" w:rsidRDefault="00A822F9" w:rsidP="00A822F9">
      <w:pPr>
        <w:pStyle w:val="Caption"/>
        <w:rPr>
          <w:i/>
          <w:iCs/>
        </w:rPr>
      </w:pPr>
      <w:r w:rsidRPr="00A822F9">
        <w:rPr>
          <w:i/>
          <w:iCs/>
        </w:rPr>
        <w:t>Observation 3: In ETSI EN 301 681, TX-off as a measure for protection of RA stations is considered sufficient assuming the carrier-off state requirement can be met.</w:t>
      </w:r>
    </w:p>
    <w:p w14:paraId="1DC81106" w14:textId="77777777" w:rsidR="00A822F9" w:rsidRPr="00A822F9" w:rsidRDefault="00A822F9" w:rsidP="00A822F9">
      <w:pPr>
        <w:rPr>
          <w:b/>
          <w:bCs/>
          <w:i/>
          <w:iCs/>
        </w:rPr>
      </w:pPr>
      <w:r w:rsidRPr="00A822F9">
        <w:rPr>
          <w:b/>
          <w:bCs/>
          <w:i/>
          <w:iCs/>
        </w:rPr>
        <w:t>Observation 4: The ETSI EN 301 681 requirement for carrier-off state is less stringent than that of the ITU M.1480.</w:t>
      </w:r>
    </w:p>
    <w:p w14:paraId="3C6B8A4E" w14:textId="77777777" w:rsidR="00A822F9" w:rsidRPr="00A822F9" w:rsidRDefault="00A822F9" w:rsidP="00A822F9">
      <w:pPr>
        <w:rPr>
          <w:b/>
          <w:bCs/>
          <w:i/>
          <w:iCs/>
        </w:rPr>
      </w:pPr>
      <w:r w:rsidRPr="00A822F9">
        <w:rPr>
          <w:b/>
          <w:bCs/>
          <w:i/>
          <w:iCs/>
        </w:rPr>
        <w:t>Observation 5: The 3GPP carrier off state requirement is -3dBW/Hz, compared to ETSI EN 301 681 at -27dBW/Hz and ITU M.1480 at -17dBW/Hz.</w:t>
      </w:r>
    </w:p>
    <w:p w14:paraId="5ADC2430" w14:textId="77777777" w:rsidR="00A822F9" w:rsidRDefault="00A822F9" w:rsidP="00C746E7">
      <w:pPr>
        <w:pStyle w:val="Caption"/>
        <w:rPr>
          <w:i/>
        </w:rPr>
      </w:pPr>
    </w:p>
    <w:p w14:paraId="750EF43B" w14:textId="56B38150" w:rsidR="00C746E7" w:rsidRDefault="00C746E7" w:rsidP="00C746E7">
      <w:pPr>
        <w:pStyle w:val="Caption"/>
        <w:rPr>
          <w:i/>
          <w:iCs/>
        </w:rPr>
      </w:pPr>
      <w:r w:rsidRPr="00141397">
        <w:rPr>
          <w:i/>
        </w:rPr>
        <w:t xml:space="preserve">Observation </w:t>
      </w:r>
      <w:r w:rsidR="00A822F9">
        <w:rPr>
          <w:i/>
        </w:rPr>
        <w:t>6</w:t>
      </w:r>
      <w:r w:rsidRPr="00141397">
        <w:rPr>
          <w:i/>
        </w:rPr>
        <w:t>:</w:t>
      </w:r>
      <w:r>
        <w:rPr>
          <w:i/>
        </w:rPr>
        <w:t xml:space="preserve"> Protection of the radioastronomy bands is mandated by the FCC</w:t>
      </w:r>
      <w:r>
        <w:rPr>
          <w:i/>
          <w:iCs/>
        </w:rPr>
        <w:t>. For the 1660-1660.5MHz RA band, interference must not be imposed upon the RA station by the UE. For the 1668-1670MHz band, PFD limits are imposed.</w:t>
      </w:r>
    </w:p>
    <w:p w14:paraId="2AD235A4" w14:textId="49E827B5" w:rsidR="00C746E7" w:rsidRPr="00C746E7" w:rsidRDefault="00C746E7" w:rsidP="00C746E7">
      <w:pPr>
        <w:pStyle w:val="Caption"/>
        <w:rPr>
          <w:b w:val="0"/>
          <w:bCs w:val="0"/>
          <w:i/>
          <w:iCs/>
        </w:rPr>
      </w:pPr>
      <w:r>
        <w:t xml:space="preserve">Observation </w:t>
      </w:r>
      <w:r w:rsidR="00A822F9">
        <w:t xml:space="preserve">7: </w:t>
      </w:r>
      <w:r w:rsidR="00A822F9" w:rsidRPr="00A822F9">
        <w:rPr>
          <w:i/>
          <w:iCs/>
        </w:rPr>
        <w:t>T</w:t>
      </w:r>
      <w:r>
        <w:rPr>
          <w:i/>
          <w:iCs/>
        </w:rPr>
        <w:t>he locations and radius of operation of Radio Astronomy stations are well-known and published via various sources, such as NTIA and the ITU frequency registry</w:t>
      </w:r>
      <w:r w:rsidR="005F749C">
        <w:rPr>
          <w:i/>
          <w:iCs/>
        </w:rPr>
        <w:t>, therefore, protection measures can be restricted to the locations of proximity to RA stations.</w:t>
      </w:r>
    </w:p>
    <w:p w14:paraId="5794F1EA" w14:textId="0F6D742F" w:rsidR="00C746E7" w:rsidRDefault="00C746E7" w:rsidP="00C746E7">
      <w:pPr>
        <w:pStyle w:val="Caption"/>
        <w:rPr>
          <w:b w:val="0"/>
          <w:bCs w:val="0"/>
          <w:i/>
          <w:iCs/>
        </w:rPr>
      </w:pPr>
      <w:r>
        <w:t>Proposal 5</w:t>
      </w:r>
      <w:r>
        <w:fldChar w:fldCharType="begin"/>
      </w:r>
      <w:r>
        <w:instrText xml:space="preserve"> SEQ Proposal \* ARABIC </w:instrText>
      </w:r>
      <w:r w:rsidR="004A2450">
        <w:fldChar w:fldCharType="separate"/>
      </w:r>
      <w:r>
        <w:fldChar w:fldCharType="end"/>
      </w:r>
      <w:r>
        <w:t xml:space="preserve">: </w:t>
      </w:r>
      <w:r>
        <w:rPr>
          <w:i/>
          <w:iCs/>
        </w:rPr>
        <w:t xml:space="preserve">Specify a “TX disable” signal to be issued by the Network </w:t>
      </w:r>
      <w:r w:rsidRPr="00945CAE">
        <w:rPr>
          <w:i/>
          <w:iCs/>
        </w:rPr>
        <w:t>when a UE is close to a radioastronomy station which is registered in the ITU master international frequency register</w:t>
      </w:r>
      <w:r>
        <w:rPr>
          <w:i/>
          <w:iCs/>
        </w:rPr>
        <w:t>.</w:t>
      </w:r>
    </w:p>
    <w:p w14:paraId="081170A8" w14:textId="77777777" w:rsidR="00C746E7" w:rsidRDefault="00C746E7" w:rsidP="00C746E7">
      <w:pPr>
        <w:pStyle w:val="Caption"/>
        <w:rPr>
          <w:b w:val="0"/>
          <w:bCs w:val="0"/>
          <w:i/>
          <w:iCs/>
        </w:rPr>
      </w:pPr>
      <w:r>
        <w:t xml:space="preserve">Proposal </w:t>
      </w:r>
      <w:r>
        <w:fldChar w:fldCharType="begin"/>
      </w:r>
      <w:r>
        <w:instrText xml:space="preserve"> SEQ Proposal \* ARABIC </w:instrText>
      </w:r>
      <w:r w:rsidR="004A2450">
        <w:fldChar w:fldCharType="separate"/>
      </w:r>
      <w:r>
        <w:fldChar w:fldCharType="end"/>
      </w:r>
      <w:r>
        <w:t>6:</w:t>
      </w:r>
      <w:r>
        <w:rPr>
          <w:i/>
        </w:rPr>
        <w:t xml:space="preserve"> Further study</w:t>
      </w:r>
      <w:r>
        <w:rPr>
          <w:i/>
          <w:iCs/>
        </w:rPr>
        <w:t xml:space="preserve"> mechanisms to improve protection of Radio Astronomy stations, the following options could be considered:</w:t>
      </w:r>
    </w:p>
    <w:p w14:paraId="201B9DEC" w14:textId="77777777" w:rsidR="00C746E7" w:rsidRDefault="00C746E7" w:rsidP="00C746E7">
      <w:pPr>
        <w:pStyle w:val="ListParagraph"/>
        <w:numPr>
          <w:ilvl w:val="0"/>
          <w:numId w:val="6"/>
        </w:numPr>
        <w:rPr>
          <w:b/>
          <w:bCs/>
          <w:i/>
          <w:iCs/>
        </w:rPr>
      </w:pPr>
      <w:r>
        <w:rPr>
          <w:b/>
          <w:bCs/>
          <w:i/>
          <w:iCs/>
        </w:rPr>
        <w:t>TX Disable</w:t>
      </w:r>
    </w:p>
    <w:p w14:paraId="5E8625BF" w14:textId="77777777" w:rsidR="00C746E7" w:rsidRDefault="00C746E7" w:rsidP="00C746E7">
      <w:pPr>
        <w:pStyle w:val="ListParagraph"/>
        <w:numPr>
          <w:ilvl w:val="0"/>
          <w:numId w:val="6"/>
        </w:numPr>
        <w:rPr>
          <w:b/>
          <w:bCs/>
          <w:i/>
          <w:iCs/>
        </w:rPr>
      </w:pPr>
      <w:r>
        <w:rPr>
          <w:b/>
          <w:bCs/>
          <w:i/>
          <w:iCs/>
        </w:rPr>
        <w:t>RB restrictions</w:t>
      </w:r>
    </w:p>
    <w:p w14:paraId="5B63075F" w14:textId="77777777" w:rsidR="00C746E7" w:rsidRPr="006211A6" w:rsidRDefault="00C746E7" w:rsidP="00C746E7">
      <w:pPr>
        <w:pStyle w:val="ListParagraph"/>
        <w:numPr>
          <w:ilvl w:val="0"/>
          <w:numId w:val="6"/>
        </w:numPr>
        <w:rPr>
          <w:b/>
          <w:bCs/>
          <w:i/>
          <w:iCs/>
        </w:rPr>
      </w:pPr>
      <w:r>
        <w:rPr>
          <w:b/>
          <w:bCs/>
          <w:i/>
          <w:iCs/>
        </w:rPr>
        <w:t>NS</w:t>
      </w:r>
    </w:p>
    <w:p w14:paraId="011EB270" w14:textId="77777777" w:rsidR="00C746E7" w:rsidRPr="00945CAE" w:rsidRDefault="00C746E7" w:rsidP="00C746E7">
      <w:pPr>
        <w:pStyle w:val="Caption"/>
        <w:rPr>
          <w:b w:val="0"/>
          <w:bCs w:val="0"/>
          <w:i/>
          <w:iCs/>
        </w:rPr>
      </w:pPr>
      <w:r>
        <w:t>Proposal 7</w:t>
      </w:r>
      <w:r>
        <w:fldChar w:fldCharType="begin"/>
      </w:r>
      <w:r>
        <w:instrText xml:space="preserve"> SEQ Proposal \* ARABIC </w:instrText>
      </w:r>
      <w:r w:rsidR="004A2450">
        <w:fldChar w:fldCharType="separate"/>
      </w:r>
      <w:r>
        <w:fldChar w:fldCharType="end"/>
      </w:r>
      <w:r>
        <w:t>:</w:t>
      </w:r>
      <w:r w:rsidRPr="00945CAE">
        <w:rPr>
          <w:i/>
        </w:rPr>
        <w:t xml:space="preserve"> Further investigation is required </w:t>
      </w:r>
      <w:proofErr w:type="gramStart"/>
      <w:r w:rsidRPr="00945CAE">
        <w:rPr>
          <w:i/>
        </w:rPr>
        <w:t>in order to</w:t>
      </w:r>
      <w:proofErr w:type="gramEnd"/>
      <w:r w:rsidRPr="00945CAE">
        <w:rPr>
          <w:i/>
        </w:rPr>
        <w:t xml:space="preserve"> understand what ‘close’ to a radioastronomy station means in practical distances and limits depending on device transmission characteristics.</w:t>
      </w:r>
    </w:p>
    <w:p w14:paraId="3D7354E1" w14:textId="0E7A4B75" w:rsidR="00BD37C6" w:rsidRPr="00C746E7" w:rsidRDefault="00C746E7" w:rsidP="00BD37C6">
      <w:pPr>
        <w:pStyle w:val="Caption"/>
        <w:rPr>
          <w:b w:val="0"/>
          <w:bCs w:val="0"/>
          <w:i/>
          <w:iCs/>
        </w:rPr>
      </w:pPr>
      <w:r>
        <w:t>Proposal 8</w:t>
      </w:r>
      <w:r>
        <w:fldChar w:fldCharType="begin"/>
      </w:r>
      <w:r>
        <w:instrText xml:space="preserve"> SEQ Proposal \* ARABIC </w:instrText>
      </w:r>
      <w:r w:rsidR="004A2450">
        <w:fldChar w:fldCharType="separate"/>
      </w:r>
      <w:r>
        <w:fldChar w:fldCharType="end"/>
      </w:r>
      <w:r>
        <w:t>:</w:t>
      </w:r>
      <w:r>
        <w:rPr>
          <w:i/>
        </w:rPr>
        <w:t xml:space="preserve"> Derivation of distance from a RA station which yields this PFD performance should be calculated, and these distances / limits may become an additional network signalled value in the event a UE is within this distance from an RA station on the ITU master frequency international register.</w:t>
      </w:r>
    </w:p>
    <w:p w14:paraId="4D85CA7F" w14:textId="6CE74A6E" w:rsidR="00C746E7" w:rsidRPr="00C746E7" w:rsidRDefault="00C746E7" w:rsidP="00C746E7">
      <w:pPr>
        <w:pStyle w:val="Caption"/>
        <w:rPr>
          <w:b w:val="0"/>
          <w:bCs w:val="0"/>
          <w:i/>
          <w:iCs/>
        </w:rPr>
      </w:pPr>
      <w:r>
        <w:t xml:space="preserve">Observation </w:t>
      </w:r>
      <w:r w:rsidR="00A822F9">
        <w:t>8</w:t>
      </w:r>
      <w:r>
        <w:t>:</w:t>
      </w:r>
      <w:r>
        <w:rPr>
          <w:i/>
        </w:rPr>
        <w:t xml:space="preserve"> The ETSI EN 301 681 harmonized standard provides regulatory out of </w:t>
      </w:r>
      <w:r>
        <w:rPr>
          <w:i/>
          <w:iCs/>
        </w:rPr>
        <w:t>band spectrum emissions masks for ESD for L-band and extended L-band operation, which is applicable to bands 253, 251 and 250.</w:t>
      </w:r>
    </w:p>
    <w:p w14:paraId="1E59E545" w14:textId="4E1EA66C" w:rsidR="00C746E7" w:rsidRPr="00C746E7" w:rsidRDefault="00C746E7" w:rsidP="00C746E7">
      <w:pPr>
        <w:pStyle w:val="Caption"/>
        <w:rPr>
          <w:b w:val="0"/>
          <w:bCs w:val="0"/>
          <w:i/>
          <w:iCs/>
        </w:rPr>
      </w:pPr>
      <w:r>
        <w:lastRenderedPageBreak/>
        <w:t xml:space="preserve">Observation </w:t>
      </w:r>
      <w:r w:rsidR="00A822F9">
        <w:t>9</w:t>
      </w:r>
      <w:r>
        <w:t>:</w:t>
      </w:r>
      <w:r w:rsidRPr="006240D9">
        <w:rPr>
          <w:i/>
        </w:rPr>
        <w:t xml:space="preserve"> ETSI EN 301 681 defines a nominated</w:t>
      </w:r>
      <w:r>
        <w:rPr>
          <w:i/>
          <w:iCs/>
        </w:rPr>
        <w:t xml:space="preserve"> transmission</w:t>
      </w:r>
      <w:r w:rsidRPr="006240D9">
        <w:rPr>
          <w:i/>
          <w:iCs/>
        </w:rPr>
        <w:t xml:space="preserve"> </w:t>
      </w:r>
      <w:r>
        <w:rPr>
          <w:i/>
          <w:iCs/>
        </w:rPr>
        <w:t>bandwidth, which can be as wide as 180% of the 3dB bandwidth of the signal of interest. The edge of the nominated bandwidth is where the in-band ETSI EN 301 681 spectrum emissions mask is taken from.</w:t>
      </w:r>
    </w:p>
    <w:p w14:paraId="4E9326CB" w14:textId="3F30993C" w:rsidR="00BD37C6" w:rsidRPr="00BD37C6" w:rsidRDefault="00BD37C6" w:rsidP="00BD37C6">
      <w:pPr>
        <w:pStyle w:val="Caption"/>
        <w:rPr>
          <w:b w:val="0"/>
          <w:bCs w:val="0"/>
          <w:i/>
          <w:iCs/>
        </w:rPr>
      </w:pPr>
      <w:r>
        <w:t xml:space="preserve">Observation </w:t>
      </w:r>
      <w:r w:rsidR="00B978CE">
        <w:t>10</w:t>
      </w:r>
      <w:r>
        <w:t>:</w:t>
      </w:r>
      <w:r w:rsidRPr="00A10CE5">
        <w:rPr>
          <w:i/>
          <w:iCs/>
        </w:rPr>
        <w:t xml:space="preserve"> ETSI EN 301 681 harmonized standard pro</w:t>
      </w:r>
      <w:r>
        <w:rPr>
          <w:i/>
          <w:iCs/>
        </w:rPr>
        <w:t>vides regulatory in-band band spectrum emissions masks for ESD for L-band and extended L-band operation, which is applicable to bands 253, 251 and 250.</w:t>
      </w:r>
    </w:p>
    <w:p w14:paraId="7405445F" w14:textId="321A0150" w:rsidR="00BD37C6" w:rsidRPr="00BD37C6" w:rsidRDefault="00BD37C6" w:rsidP="00BD37C6">
      <w:pPr>
        <w:pStyle w:val="Caption"/>
        <w:rPr>
          <w:b w:val="0"/>
          <w:bCs w:val="0"/>
          <w:i/>
        </w:rPr>
      </w:pPr>
      <w:r>
        <w:t xml:space="preserve">Observation </w:t>
      </w:r>
      <w:r w:rsidR="00B978CE">
        <w:t>11</w:t>
      </w:r>
      <w:r>
        <w:t>:</w:t>
      </w:r>
      <w:r w:rsidRPr="003C31BE">
        <w:rPr>
          <w:i/>
        </w:rPr>
        <w:t xml:space="preserve"> The ETSI EN 301 681 specification captures the </w:t>
      </w:r>
      <w:proofErr w:type="spellStart"/>
      <w:r w:rsidRPr="003C31BE">
        <w:rPr>
          <w:i/>
        </w:rPr>
        <w:t>emisisons</w:t>
      </w:r>
      <w:proofErr w:type="spellEnd"/>
      <w:r w:rsidRPr="003C31BE">
        <w:rPr>
          <w:i/>
        </w:rPr>
        <w:t xml:space="preserve"> requirements for the protection of the other operators transmitting at 1626-1626.</w:t>
      </w:r>
      <w:proofErr w:type="gramStart"/>
      <w:r w:rsidRPr="003C31BE">
        <w:rPr>
          <w:i/>
        </w:rPr>
        <w:t>5MHz, and</w:t>
      </w:r>
      <w:proofErr w:type="gramEnd"/>
      <w:r w:rsidRPr="003C31BE">
        <w:rPr>
          <w:i/>
        </w:rPr>
        <w:t xml:space="preserve"> is sufficient to guarantee the protection of systems operating in this band.</w:t>
      </w:r>
    </w:p>
    <w:p w14:paraId="0765E867" w14:textId="1A57729B" w:rsidR="00C244C6" w:rsidRPr="00BD37C6" w:rsidRDefault="00BD37C6" w:rsidP="00BD37C6">
      <w:pPr>
        <w:pStyle w:val="Caption"/>
        <w:rPr>
          <w:i/>
        </w:rPr>
      </w:pPr>
      <w:r>
        <w:t xml:space="preserve">Observation </w:t>
      </w:r>
      <w:r w:rsidR="00B978CE">
        <w:t>12</w:t>
      </w:r>
      <w:r>
        <w:t>:</w:t>
      </w:r>
      <w:r>
        <w:rPr>
          <w:i/>
        </w:rPr>
        <w:t xml:space="preserve"> The FCC Part 25 regulations specify an SEM for attenuation from maximum transmit power. The stringency of this SEM depends on the channel bandwidth of the transmission and the transmit power of the UE.</w:t>
      </w:r>
    </w:p>
    <w:p w14:paraId="17470977" w14:textId="7E91A384" w:rsidR="00BD37C6" w:rsidRDefault="00BD37C6" w:rsidP="00BD37C6">
      <w:pPr>
        <w:pStyle w:val="Caption"/>
        <w:rPr>
          <w:b w:val="0"/>
          <w:bCs w:val="0"/>
          <w:i/>
          <w:iCs/>
        </w:rPr>
      </w:pPr>
      <w:r>
        <w:t xml:space="preserve">Observation </w:t>
      </w:r>
      <w:r w:rsidR="00B978CE">
        <w:t>13</w:t>
      </w:r>
      <w:r>
        <w:t>:</w:t>
      </w:r>
      <w:r>
        <w:rPr>
          <w:i/>
        </w:rPr>
        <w:t xml:space="preserve"> Compliance to the ETSI EN 301 681 requirements can be verified via a conducted interface, with the highest antenna gain at the frequency of interest being added to the PSD of each test point to assess compliance to the emissions masks specified in the EN 301 681 standard.</w:t>
      </w:r>
    </w:p>
    <w:p w14:paraId="1B42DFB1" w14:textId="77777777" w:rsidR="00BD37C6" w:rsidRDefault="00BD37C6" w:rsidP="00BD37C6">
      <w:pPr>
        <w:pStyle w:val="Caption"/>
        <w:rPr>
          <w:b w:val="0"/>
          <w:bCs w:val="0"/>
          <w:i/>
          <w:iCs/>
        </w:rPr>
      </w:pPr>
      <w:r>
        <w:t>Proposal 9</w:t>
      </w:r>
      <w:r>
        <w:fldChar w:fldCharType="begin"/>
      </w:r>
      <w:r>
        <w:instrText xml:space="preserve"> SEQ Proposal \* ARABIC </w:instrText>
      </w:r>
      <w:r w:rsidR="004A2450">
        <w:fldChar w:fldCharType="separate"/>
      </w:r>
      <w:r>
        <w:fldChar w:fldCharType="end"/>
      </w:r>
      <w:r>
        <w:t>:</w:t>
      </w:r>
      <w:r>
        <w:rPr>
          <w:i/>
        </w:rPr>
        <w:t xml:space="preserve"> The option to assess compliance to ETSI EN 301 681 radiated requirements by conducted means should be captured in a note within the specification, stating that antenna characteristics over the full frequency range are required </w:t>
      </w:r>
      <w:proofErr w:type="gramStart"/>
      <w:r>
        <w:rPr>
          <w:i/>
        </w:rPr>
        <w:t>in order to</w:t>
      </w:r>
      <w:proofErr w:type="gramEnd"/>
      <w:r>
        <w:rPr>
          <w:i/>
        </w:rPr>
        <w:t xml:space="preserve"> suitable assess the compliance to these radiated requirements.</w:t>
      </w:r>
    </w:p>
    <w:p w14:paraId="6F8C4B63" w14:textId="77777777" w:rsidR="00BD37C6" w:rsidRPr="00AA720F" w:rsidRDefault="00BD37C6" w:rsidP="00BD37C6">
      <w:pPr>
        <w:pStyle w:val="Caption"/>
        <w:rPr>
          <w:i/>
        </w:rPr>
      </w:pPr>
      <w:r>
        <w:t>Proposal 10</w:t>
      </w:r>
      <w:r>
        <w:fldChar w:fldCharType="begin"/>
      </w:r>
      <w:r>
        <w:instrText xml:space="preserve"> SEQ Proposal \* ARABIC </w:instrText>
      </w:r>
      <w:r w:rsidR="004A2450">
        <w:fldChar w:fldCharType="separate"/>
      </w:r>
      <w:r>
        <w:fldChar w:fldCharType="end"/>
      </w:r>
      <w:r>
        <w:t>:</w:t>
      </w:r>
      <w:r>
        <w:rPr>
          <w:b w:val="0"/>
          <w:i/>
        </w:rPr>
        <w:t xml:space="preserve"> </w:t>
      </w:r>
      <w:r w:rsidRPr="00AA720F">
        <w:rPr>
          <w:i/>
        </w:rPr>
        <w:t>This approach to assess compliance to ETSI EN 301 681 should also be considered for FCC part 25.202. With the radiated requirements being ascertained by conducted means and the radiated requirements can be discerned for regulatory approval using an appropriate characterisation of the UE antenna over the required frequency response. This process should also be captures in a note within the specification.</w:t>
      </w:r>
    </w:p>
    <w:p w14:paraId="43D5CF57" w14:textId="77777777" w:rsidR="00C244C6" w:rsidRPr="003A3C26" w:rsidRDefault="00C244C6" w:rsidP="003A3C26"/>
    <w:p w14:paraId="1EB53564" w14:textId="2B018587" w:rsidR="006E1790" w:rsidRDefault="006E1790">
      <w:pPr>
        <w:pStyle w:val="Heading1"/>
      </w:pPr>
      <w:r>
        <w:t>References</w:t>
      </w:r>
    </w:p>
    <w:p w14:paraId="7909D4C2" w14:textId="2AF92D3E" w:rsidR="006E1790" w:rsidRDefault="00F31FC0" w:rsidP="00F31FC0">
      <w:pPr>
        <w:pStyle w:val="ListParagraph"/>
        <w:numPr>
          <w:ilvl w:val="0"/>
          <w:numId w:val="7"/>
        </w:numPr>
      </w:pPr>
      <w:r>
        <w:t xml:space="preserve">Recommendation ITU-R M.1480; (05/2000); Essential technical requirements of mobile earth stations of geostationary mobile-satellite systems that are implementing the global mobile personal communications by satellite (GMPCS) – Memorandum of understanding arrangements in parts of the frequency band 1-3 GHz - </w:t>
      </w:r>
      <w:hyperlink r:id="rId23" w:history="1">
        <w:r w:rsidRPr="00B30BFD">
          <w:rPr>
            <w:rStyle w:val="Hyperlink"/>
          </w:rPr>
          <w:t>https://www.itu.int/rec/R-REC-M.1480-0-200005-I/en</w:t>
        </w:r>
      </w:hyperlink>
      <w:r>
        <w:t xml:space="preserve"> </w:t>
      </w:r>
    </w:p>
    <w:p w14:paraId="62BAFF6B" w14:textId="71ADEFC1" w:rsidR="00F31FC0" w:rsidRDefault="005D2AA2" w:rsidP="00EF6660">
      <w:pPr>
        <w:pStyle w:val="ListParagraph"/>
        <w:numPr>
          <w:ilvl w:val="0"/>
          <w:numId w:val="7"/>
        </w:numPr>
        <w:rPr>
          <w:lang w:val="sv-FI"/>
        </w:rPr>
      </w:pPr>
      <w:r w:rsidRPr="00131269">
        <w:rPr>
          <w:lang w:val="sv-FI"/>
        </w:rPr>
        <w:t>ET</w:t>
      </w:r>
      <w:r w:rsidR="004318C8" w:rsidRPr="00131269">
        <w:rPr>
          <w:lang w:val="sv-FI"/>
        </w:rPr>
        <w:t>SI</w:t>
      </w:r>
      <w:r w:rsidR="005E03B2" w:rsidRPr="00131269">
        <w:rPr>
          <w:lang w:val="sv-FI"/>
        </w:rPr>
        <w:t xml:space="preserve"> EN 301 681</w:t>
      </w:r>
      <w:r w:rsidR="00B47D9A" w:rsidRPr="00131269">
        <w:rPr>
          <w:lang w:val="sv-FI"/>
        </w:rPr>
        <w:t>; V2.1.2 (2016-11)</w:t>
      </w:r>
      <w:r w:rsidR="000E6539" w:rsidRPr="00131269">
        <w:rPr>
          <w:lang w:val="sv-FI"/>
        </w:rPr>
        <w:t xml:space="preserve"> - </w:t>
      </w:r>
      <w:hyperlink r:id="rId24" w:history="1">
        <w:r w:rsidR="000E6539" w:rsidRPr="00131269">
          <w:rPr>
            <w:rStyle w:val="Hyperlink"/>
            <w:lang w:val="sv-FI"/>
          </w:rPr>
          <w:t>https://www.etsi.org/deliver/etsi_en/301600_301699/301681/02.01.02_60/en_301681v020102p.pdf</w:t>
        </w:r>
      </w:hyperlink>
      <w:r w:rsidR="00DC2FA0" w:rsidRPr="00131269">
        <w:rPr>
          <w:lang w:val="sv-FI"/>
        </w:rPr>
        <w:t xml:space="preserve"> </w:t>
      </w:r>
    </w:p>
    <w:p w14:paraId="51716FB7" w14:textId="057C2CFF" w:rsidR="008B0F75" w:rsidRPr="008B0F75" w:rsidRDefault="003E3E77" w:rsidP="008B0F75">
      <w:pPr>
        <w:pStyle w:val="ListParagraph"/>
        <w:numPr>
          <w:ilvl w:val="0"/>
          <w:numId w:val="7"/>
        </w:numPr>
      </w:pPr>
      <w:r>
        <w:t>FCC</w:t>
      </w:r>
      <w:r w:rsidR="000C0A37">
        <w:t xml:space="preserve"> Title 47 </w:t>
      </w:r>
      <w:r w:rsidR="00862469">
        <w:t xml:space="preserve">Part 2 Section </w:t>
      </w:r>
      <w:r w:rsidR="000E6539">
        <w:t xml:space="preserve">106 – Table of Frequency Allocations - </w:t>
      </w:r>
      <w:r w:rsidR="008B0F75">
        <w:t xml:space="preserve"> </w:t>
      </w:r>
      <w:hyperlink r:id="rId25" w:history="1">
        <w:r w:rsidR="00561369" w:rsidRPr="00B30BFD">
          <w:rPr>
            <w:rStyle w:val="Hyperlink"/>
          </w:rPr>
          <w:t>https://www.ecfr.gov/current/title-47/chapter-I/subchapter-A/part-2/subpart-B/section-2.106</w:t>
        </w:r>
      </w:hyperlink>
      <w:r w:rsidR="00561369">
        <w:t xml:space="preserve"> </w:t>
      </w:r>
    </w:p>
    <w:p w14:paraId="7F78F592" w14:textId="27EE6F12" w:rsidR="00EF6660" w:rsidRDefault="00BC2CFD" w:rsidP="00EF6660">
      <w:pPr>
        <w:pStyle w:val="ListParagraph"/>
        <w:numPr>
          <w:ilvl w:val="0"/>
          <w:numId w:val="7"/>
        </w:numPr>
      </w:pPr>
      <w:r>
        <w:t xml:space="preserve">FCC </w:t>
      </w:r>
      <w:r w:rsidR="00F53C79">
        <w:t>Part 25.202</w:t>
      </w:r>
      <w:r w:rsidR="000E6539">
        <w:t xml:space="preserve"> - </w:t>
      </w:r>
      <w:r w:rsidR="00F53C79">
        <w:t xml:space="preserve"> </w:t>
      </w:r>
      <w:hyperlink r:id="rId26" w:anchor="p-25.202" w:history="1">
        <w:r w:rsidR="00F53C79" w:rsidRPr="00B30BFD">
          <w:rPr>
            <w:rStyle w:val="Hyperlink"/>
          </w:rPr>
          <w:t>https://www.ecfr.gov/current/title-47/chapter-I/subchapter-B/part-25#p-25.202</w:t>
        </w:r>
      </w:hyperlink>
      <w:r w:rsidR="00F53C79">
        <w:t xml:space="preserve"> </w:t>
      </w:r>
    </w:p>
    <w:p w14:paraId="3A3D80D4" w14:textId="18E6A5DB" w:rsidR="000E6539" w:rsidRDefault="000E6539" w:rsidP="00EA59C4">
      <w:pPr>
        <w:pStyle w:val="ListParagraph"/>
        <w:numPr>
          <w:ilvl w:val="0"/>
          <w:numId w:val="7"/>
        </w:numPr>
      </w:pPr>
      <w:r>
        <w:t>NTIA</w:t>
      </w:r>
      <w:r w:rsidR="00EA59C4">
        <w:t xml:space="preserve"> 1660.5-1668.4 MHz (December 1, 2015)</w:t>
      </w:r>
      <w:r w:rsidR="00600ECA">
        <w:t xml:space="preserve"> - </w:t>
      </w:r>
      <w:hyperlink r:id="rId27" w:history="1">
        <w:r w:rsidR="00600ECA" w:rsidRPr="00B30BFD">
          <w:rPr>
            <w:rStyle w:val="Hyperlink"/>
          </w:rPr>
          <w:t>https://www.ntia.gov/files/ntia/publications/compendium/1660.50-1668.40_01DEC15.pdf</w:t>
        </w:r>
      </w:hyperlink>
      <w:r w:rsidR="00600ECA">
        <w:t xml:space="preserve"> </w:t>
      </w:r>
    </w:p>
    <w:p w14:paraId="6999992F" w14:textId="27DBB4B6" w:rsidR="00600ECA" w:rsidRPr="006E1790" w:rsidRDefault="00600ECA" w:rsidP="00EA59C4">
      <w:pPr>
        <w:pStyle w:val="ListParagraph"/>
        <w:numPr>
          <w:ilvl w:val="0"/>
          <w:numId w:val="7"/>
        </w:numPr>
      </w:pPr>
      <w:r>
        <w:t xml:space="preserve">NTIA </w:t>
      </w:r>
      <w:r w:rsidR="00886F1E" w:rsidRPr="00886F1E">
        <w:t>1660-1660.5 MHz</w:t>
      </w:r>
      <w:r w:rsidR="00075023">
        <w:t xml:space="preserve"> (May</w:t>
      </w:r>
      <w:r w:rsidR="007B75BA">
        <w:t xml:space="preserve"> 1,</w:t>
      </w:r>
      <w:r w:rsidR="00075023">
        <w:t xml:space="preserve"> </w:t>
      </w:r>
      <w:r w:rsidR="007B75BA">
        <w:t xml:space="preserve">2015) - </w:t>
      </w:r>
      <w:hyperlink r:id="rId28" w:history="1">
        <w:r w:rsidR="007B75BA" w:rsidRPr="00B30BFD">
          <w:rPr>
            <w:rStyle w:val="Hyperlink"/>
          </w:rPr>
          <w:t>https://www.ntia.doc.gov/files/ntia/publications/compendium/1660.00-1660.50_01MAY15.pdf</w:t>
        </w:r>
      </w:hyperlink>
      <w:r w:rsidR="007B75BA">
        <w:t xml:space="preserve"> </w:t>
      </w:r>
    </w:p>
    <w:sectPr w:rsidR="00600ECA" w:rsidRPr="006E1790">
      <w:headerReference w:type="even" r:id="rId29"/>
      <w:headerReference w:type="default" r:id="rId30"/>
      <w:footerReference w:type="default" r:id="rId3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B27C4D" w14:textId="77777777" w:rsidR="00C2760D" w:rsidRDefault="00C2760D">
      <w:pPr>
        <w:spacing w:after="0"/>
      </w:pPr>
      <w:r>
        <w:separator/>
      </w:r>
    </w:p>
  </w:endnote>
  <w:endnote w:type="continuationSeparator" w:id="0">
    <w:p w14:paraId="0131D938" w14:textId="77777777" w:rsidR="00C2760D" w:rsidRDefault="00C2760D">
      <w:pPr>
        <w:spacing w:after="0"/>
      </w:pPr>
      <w:r>
        <w:continuationSeparator/>
      </w:r>
    </w:p>
  </w:endnote>
  <w:endnote w:type="continuationNotice" w:id="1">
    <w:p w14:paraId="39F3AACE" w14:textId="77777777" w:rsidR="00C2760D" w:rsidRDefault="00C2760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ms Rmn">
    <w:altName w:val="Times New Roman"/>
    <w:panose1 w:val="02020603040505020304"/>
    <w:charset w:val="00"/>
    <w:family w:val="roman"/>
    <w:pitch w:val="variable"/>
    <w:sig w:usb0="00000003" w:usb1="00000000" w:usb2="00000000" w:usb3="00000000" w:csb0="00000001" w:csb1="00000000"/>
  </w:font>
  <w:font w:name="–¾’©">
    <w:altName w:val="MS Gothic"/>
    <w:panose1 w:val="00000000000000000000"/>
    <w:charset w:val="80"/>
    <w:family w:val="roman"/>
    <w:notTrueType/>
    <w:pitch w:val="fixed"/>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49383D2F" w14:paraId="2CBA7B3B" w14:textId="77777777" w:rsidTr="49383D2F">
      <w:trPr>
        <w:trHeight w:val="300"/>
      </w:trPr>
      <w:tc>
        <w:tcPr>
          <w:tcW w:w="3210" w:type="dxa"/>
        </w:tcPr>
        <w:p w14:paraId="4A12274F" w14:textId="089A90DD" w:rsidR="49383D2F" w:rsidRDefault="49383D2F" w:rsidP="49383D2F">
          <w:pPr>
            <w:pStyle w:val="Header"/>
            <w:ind w:left="-115"/>
          </w:pPr>
        </w:p>
      </w:tc>
      <w:tc>
        <w:tcPr>
          <w:tcW w:w="3210" w:type="dxa"/>
        </w:tcPr>
        <w:p w14:paraId="29574196" w14:textId="08248A95" w:rsidR="49383D2F" w:rsidRDefault="49383D2F" w:rsidP="49383D2F">
          <w:pPr>
            <w:pStyle w:val="Header"/>
            <w:jc w:val="center"/>
          </w:pPr>
        </w:p>
      </w:tc>
      <w:tc>
        <w:tcPr>
          <w:tcW w:w="3210" w:type="dxa"/>
        </w:tcPr>
        <w:p w14:paraId="4B3D5535" w14:textId="643ACBED" w:rsidR="49383D2F" w:rsidRDefault="49383D2F" w:rsidP="49383D2F">
          <w:pPr>
            <w:pStyle w:val="Header"/>
            <w:ind w:right="-115"/>
            <w:jc w:val="right"/>
          </w:pPr>
        </w:p>
      </w:tc>
    </w:tr>
  </w:tbl>
  <w:p w14:paraId="32BC6482" w14:textId="4547CAC4" w:rsidR="008B51AF" w:rsidRDefault="008B51A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A12584C" w14:textId="77777777" w:rsidR="00C2760D" w:rsidRDefault="00C2760D">
      <w:pPr>
        <w:spacing w:after="0"/>
      </w:pPr>
      <w:r>
        <w:separator/>
      </w:r>
    </w:p>
  </w:footnote>
  <w:footnote w:type="continuationSeparator" w:id="0">
    <w:p w14:paraId="34F7E9DE" w14:textId="77777777" w:rsidR="00C2760D" w:rsidRDefault="00C2760D">
      <w:pPr>
        <w:spacing w:after="0"/>
      </w:pPr>
      <w:r>
        <w:continuationSeparator/>
      </w:r>
    </w:p>
  </w:footnote>
  <w:footnote w:type="continuationNotice" w:id="1">
    <w:p w14:paraId="46A0B3DC" w14:textId="77777777" w:rsidR="00C2760D" w:rsidRDefault="00C2760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E964EF" w14:textId="77777777" w:rsidR="00EF79E3" w:rsidRDefault="00EF79E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3210"/>
      <w:gridCol w:w="3210"/>
      <w:gridCol w:w="3210"/>
    </w:tblGrid>
    <w:tr w:rsidR="49383D2F" w14:paraId="76DBF71C" w14:textId="77777777" w:rsidTr="49383D2F">
      <w:trPr>
        <w:trHeight w:val="300"/>
      </w:trPr>
      <w:tc>
        <w:tcPr>
          <w:tcW w:w="3210" w:type="dxa"/>
        </w:tcPr>
        <w:p w14:paraId="1B5DDCC7" w14:textId="058161D1" w:rsidR="49383D2F" w:rsidRDefault="49383D2F" w:rsidP="49383D2F">
          <w:pPr>
            <w:pStyle w:val="Header"/>
            <w:ind w:left="-115"/>
          </w:pPr>
        </w:p>
      </w:tc>
      <w:tc>
        <w:tcPr>
          <w:tcW w:w="3210" w:type="dxa"/>
        </w:tcPr>
        <w:p w14:paraId="0D49836B" w14:textId="4AFACDF4" w:rsidR="49383D2F" w:rsidRDefault="49383D2F" w:rsidP="49383D2F">
          <w:pPr>
            <w:pStyle w:val="Header"/>
            <w:jc w:val="center"/>
          </w:pPr>
        </w:p>
      </w:tc>
      <w:tc>
        <w:tcPr>
          <w:tcW w:w="3210" w:type="dxa"/>
        </w:tcPr>
        <w:p w14:paraId="53CFA366" w14:textId="7C03B908" w:rsidR="49383D2F" w:rsidRDefault="49383D2F" w:rsidP="49383D2F">
          <w:pPr>
            <w:pStyle w:val="Header"/>
            <w:ind w:right="-115"/>
            <w:jc w:val="right"/>
          </w:pPr>
        </w:p>
      </w:tc>
    </w:tr>
  </w:tbl>
  <w:p w14:paraId="72D6C2B2" w14:textId="70393EAA" w:rsidR="008B51AF" w:rsidRDefault="008B51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8F1969"/>
    <w:multiLevelType w:val="multilevel"/>
    <w:tmpl w:val="4516CC6C"/>
    <w:lvl w:ilvl="0">
      <w:start w:val="4"/>
      <w:numFmt w:val="decimal"/>
      <w:lvlText w:val="%1."/>
      <w:lvlJc w:val="left"/>
      <w:pPr>
        <w:ind w:left="360" w:hanging="360"/>
      </w:pPr>
      <w:rPr>
        <w:rFonts w:hint="default"/>
      </w:r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1E717A35"/>
    <w:multiLevelType w:val="multilevel"/>
    <w:tmpl w:val="513E3F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2F7139C5"/>
    <w:multiLevelType w:val="hybridMultilevel"/>
    <w:tmpl w:val="56A4273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554B54D8"/>
    <w:multiLevelType w:val="hybridMultilevel"/>
    <w:tmpl w:val="45845022"/>
    <w:lvl w:ilvl="0" w:tplc="D91C9AC6">
      <w:start w:val="2"/>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7175491"/>
    <w:multiLevelType w:val="hybridMultilevel"/>
    <w:tmpl w:val="56A4273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58545CD7"/>
    <w:multiLevelType w:val="hybridMultilevel"/>
    <w:tmpl w:val="E42E478C"/>
    <w:lvl w:ilvl="0" w:tplc="6E5AD70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2B4269D"/>
    <w:multiLevelType w:val="multilevel"/>
    <w:tmpl w:val="08090025"/>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7EA2538D"/>
    <w:multiLevelType w:val="hybridMultilevel"/>
    <w:tmpl w:val="0C380A8A"/>
    <w:lvl w:ilvl="0" w:tplc="9612B97A">
      <w:numFmt w:val="bullet"/>
      <w:lvlText w:val="-"/>
      <w:lvlJc w:val="left"/>
      <w:pPr>
        <w:ind w:left="1267" w:hanging="360"/>
      </w:pPr>
      <w:rPr>
        <w:rFonts w:ascii="Arial" w:eastAsiaTheme="minorHAnsi" w:hAnsi="Arial" w:cs="Arial" w:hint="default"/>
      </w:rPr>
    </w:lvl>
    <w:lvl w:ilvl="1" w:tplc="08090003">
      <w:start w:val="1"/>
      <w:numFmt w:val="bullet"/>
      <w:lvlText w:val="o"/>
      <w:lvlJc w:val="left"/>
      <w:pPr>
        <w:ind w:left="1987" w:hanging="360"/>
      </w:pPr>
      <w:rPr>
        <w:rFonts w:ascii="Courier New" w:hAnsi="Courier New" w:cs="Courier New" w:hint="default"/>
      </w:rPr>
    </w:lvl>
    <w:lvl w:ilvl="2" w:tplc="08090005" w:tentative="1">
      <w:start w:val="1"/>
      <w:numFmt w:val="bullet"/>
      <w:lvlText w:val=""/>
      <w:lvlJc w:val="left"/>
      <w:pPr>
        <w:ind w:left="2707" w:hanging="360"/>
      </w:pPr>
      <w:rPr>
        <w:rFonts w:ascii="Wingdings" w:hAnsi="Wingdings" w:hint="default"/>
      </w:rPr>
    </w:lvl>
    <w:lvl w:ilvl="3" w:tplc="08090001" w:tentative="1">
      <w:start w:val="1"/>
      <w:numFmt w:val="bullet"/>
      <w:lvlText w:val=""/>
      <w:lvlJc w:val="left"/>
      <w:pPr>
        <w:ind w:left="3427" w:hanging="360"/>
      </w:pPr>
      <w:rPr>
        <w:rFonts w:ascii="Symbol" w:hAnsi="Symbol" w:hint="default"/>
      </w:rPr>
    </w:lvl>
    <w:lvl w:ilvl="4" w:tplc="08090003" w:tentative="1">
      <w:start w:val="1"/>
      <w:numFmt w:val="bullet"/>
      <w:lvlText w:val="o"/>
      <w:lvlJc w:val="left"/>
      <w:pPr>
        <w:ind w:left="4147" w:hanging="360"/>
      </w:pPr>
      <w:rPr>
        <w:rFonts w:ascii="Courier New" w:hAnsi="Courier New" w:cs="Courier New" w:hint="default"/>
      </w:rPr>
    </w:lvl>
    <w:lvl w:ilvl="5" w:tplc="08090005" w:tentative="1">
      <w:start w:val="1"/>
      <w:numFmt w:val="bullet"/>
      <w:lvlText w:val=""/>
      <w:lvlJc w:val="left"/>
      <w:pPr>
        <w:ind w:left="4867" w:hanging="360"/>
      </w:pPr>
      <w:rPr>
        <w:rFonts w:ascii="Wingdings" w:hAnsi="Wingdings" w:hint="default"/>
      </w:rPr>
    </w:lvl>
    <w:lvl w:ilvl="6" w:tplc="08090001" w:tentative="1">
      <w:start w:val="1"/>
      <w:numFmt w:val="bullet"/>
      <w:lvlText w:val=""/>
      <w:lvlJc w:val="left"/>
      <w:pPr>
        <w:ind w:left="5587" w:hanging="360"/>
      </w:pPr>
      <w:rPr>
        <w:rFonts w:ascii="Symbol" w:hAnsi="Symbol" w:hint="default"/>
      </w:rPr>
    </w:lvl>
    <w:lvl w:ilvl="7" w:tplc="08090003" w:tentative="1">
      <w:start w:val="1"/>
      <w:numFmt w:val="bullet"/>
      <w:lvlText w:val="o"/>
      <w:lvlJc w:val="left"/>
      <w:pPr>
        <w:ind w:left="6307" w:hanging="360"/>
      </w:pPr>
      <w:rPr>
        <w:rFonts w:ascii="Courier New" w:hAnsi="Courier New" w:cs="Courier New" w:hint="default"/>
      </w:rPr>
    </w:lvl>
    <w:lvl w:ilvl="8" w:tplc="08090005" w:tentative="1">
      <w:start w:val="1"/>
      <w:numFmt w:val="bullet"/>
      <w:lvlText w:val=""/>
      <w:lvlJc w:val="left"/>
      <w:pPr>
        <w:ind w:left="7027" w:hanging="360"/>
      </w:pPr>
      <w:rPr>
        <w:rFonts w:ascii="Wingdings" w:hAnsi="Wingdings" w:hint="default"/>
      </w:rPr>
    </w:lvl>
  </w:abstractNum>
  <w:num w:numId="1" w16cid:durableId="873226880">
    <w:abstractNumId w:val="1"/>
  </w:num>
  <w:num w:numId="2" w16cid:durableId="1422875722">
    <w:abstractNumId w:val="7"/>
  </w:num>
  <w:num w:numId="3" w16cid:durableId="1740512952">
    <w:abstractNumId w:val="0"/>
  </w:num>
  <w:num w:numId="4" w16cid:durableId="1592742014">
    <w:abstractNumId w:val="2"/>
  </w:num>
  <w:num w:numId="5" w16cid:durableId="38214605">
    <w:abstractNumId w:val="4"/>
  </w:num>
  <w:num w:numId="6" w16cid:durableId="1528525574">
    <w:abstractNumId w:val="3"/>
  </w:num>
  <w:num w:numId="7" w16cid:durableId="1444108559">
    <w:abstractNumId w:val="5"/>
  </w:num>
  <w:num w:numId="8" w16cid:durableId="170806936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proofState w:spelling="clean" w:grammar="clean"/>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79E3"/>
    <w:rsid w:val="00004133"/>
    <w:rsid w:val="000063A9"/>
    <w:rsid w:val="00037773"/>
    <w:rsid w:val="0004506E"/>
    <w:rsid w:val="00046878"/>
    <w:rsid w:val="00050792"/>
    <w:rsid w:val="000565F3"/>
    <w:rsid w:val="00056999"/>
    <w:rsid w:val="000611C6"/>
    <w:rsid w:val="000725AF"/>
    <w:rsid w:val="000744A6"/>
    <w:rsid w:val="00075023"/>
    <w:rsid w:val="00080964"/>
    <w:rsid w:val="00092E86"/>
    <w:rsid w:val="00096BA5"/>
    <w:rsid w:val="000A132F"/>
    <w:rsid w:val="000A2736"/>
    <w:rsid w:val="000C0A37"/>
    <w:rsid w:val="000C34E3"/>
    <w:rsid w:val="000C6A08"/>
    <w:rsid w:val="000D7704"/>
    <w:rsid w:val="000E3D8A"/>
    <w:rsid w:val="000E6539"/>
    <w:rsid w:val="000F388A"/>
    <w:rsid w:val="000F436F"/>
    <w:rsid w:val="000F539B"/>
    <w:rsid w:val="000F6DD7"/>
    <w:rsid w:val="000F7C80"/>
    <w:rsid w:val="001228B0"/>
    <w:rsid w:val="00123A48"/>
    <w:rsid w:val="00125E9C"/>
    <w:rsid w:val="00130EEE"/>
    <w:rsid w:val="00131269"/>
    <w:rsid w:val="00141397"/>
    <w:rsid w:val="00144A4F"/>
    <w:rsid w:val="00147BDD"/>
    <w:rsid w:val="00154753"/>
    <w:rsid w:val="00161249"/>
    <w:rsid w:val="001666BD"/>
    <w:rsid w:val="0017258F"/>
    <w:rsid w:val="00193B49"/>
    <w:rsid w:val="00195C4D"/>
    <w:rsid w:val="001A1332"/>
    <w:rsid w:val="001A1CAC"/>
    <w:rsid w:val="001A3B99"/>
    <w:rsid w:val="001A7996"/>
    <w:rsid w:val="001B01A4"/>
    <w:rsid w:val="001B06FA"/>
    <w:rsid w:val="001B6C7E"/>
    <w:rsid w:val="001B795F"/>
    <w:rsid w:val="001C31C3"/>
    <w:rsid w:val="001C646C"/>
    <w:rsid w:val="001D2465"/>
    <w:rsid w:val="001D2C96"/>
    <w:rsid w:val="001E1FA2"/>
    <w:rsid w:val="001F4EE5"/>
    <w:rsid w:val="001F5CC6"/>
    <w:rsid w:val="001F7AFE"/>
    <w:rsid w:val="00200D4A"/>
    <w:rsid w:val="002012B6"/>
    <w:rsid w:val="0021591E"/>
    <w:rsid w:val="002213A3"/>
    <w:rsid w:val="00227941"/>
    <w:rsid w:val="00231C14"/>
    <w:rsid w:val="0023767E"/>
    <w:rsid w:val="002401D5"/>
    <w:rsid w:val="002429AC"/>
    <w:rsid w:val="0024316C"/>
    <w:rsid w:val="00243A22"/>
    <w:rsid w:val="00247111"/>
    <w:rsid w:val="00253847"/>
    <w:rsid w:val="00253DCD"/>
    <w:rsid w:val="00255C08"/>
    <w:rsid w:val="00271F04"/>
    <w:rsid w:val="00272D03"/>
    <w:rsid w:val="0027388D"/>
    <w:rsid w:val="00283557"/>
    <w:rsid w:val="002B1B76"/>
    <w:rsid w:val="002C4AC2"/>
    <w:rsid w:val="002C6E6B"/>
    <w:rsid w:val="002E7C6F"/>
    <w:rsid w:val="002F3299"/>
    <w:rsid w:val="002F477C"/>
    <w:rsid w:val="00302C3F"/>
    <w:rsid w:val="00306BE1"/>
    <w:rsid w:val="00310D49"/>
    <w:rsid w:val="00321C1E"/>
    <w:rsid w:val="00336DE7"/>
    <w:rsid w:val="00350112"/>
    <w:rsid w:val="00353E9A"/>
    <w:rsid w:val="00354954"/>
    <w:rsid w:val="00355E78"/>
    <w:rsid w:val="0037403D"/>
    <w:rsid w:val="00374BCF"/>
    <w:rsid w:val="00380DED"/>
    <w:rsid w:val="00386876"/>
    <w:rsid w:val="00387A39"/>
    <w:rsid w:val="00394115"/>
    <w:rsid w:val="003A2DA6"/>
    <w:rsid w:val="003A2EF0"/>
    <w:rsid w:val="003A3C26"/>
    <w:rsid w:val="003A5EA3"/>
    <w:rsid w:val="003B06AA"/>
    <w:rsid w:val="003B5209"/>
    <w:rsid w:val="003C1114"/>
    <w:rsid w:val="003C31BE"/>
    <w:rsid w:val="003C68AB"/>
    <w:rsid w:val="003D57E0"/>
    <w:rsid w:val="003E07CE"/>
    <w:rsid w:val="003E30E8"/>
    <w:rsid w:val="003E3E77"/>
    <w:rsid w:val="003F108C"/>
    <w:rsid w:val="0040193F"/>
    <w:rsid w:val="004023A2"/>
    <w:rsid w:val="00404F0B"/>
    <w:rsid w:val="004074C8"/>
    <w:rsid w:val="00415351"/>
    <w:rsid w:val="00415904"/>
    <w:rsid w:val="00422C30"/>
    <w:rsid w:val="0042641C"/>
    <w:rsid w:val="004318C8"/>
    <w:rsid w:val="00432AD8"/>
    <w:rsid w:val="0043593B"/>
    <w:rsid w:val="004375D1"/>
    <w:rsid w:val="00445F92"/>
    <w:rsid w:val="00450068"/>
    <w:rsid w:val="00455037"/>
    <w:rsid w:val="00461A44"/>
    <w:rsid w:val="00466E97"/>
    <w:rsid w:val="00482E0B"/>
    <w:rsid w:val="004850B7"/>
    <w:rsid w:val="004879FC"/>
    <w:rsid w:val="00487EB3"/>
    <w:rsid w:val="00490BFE"/>
    <w:rsid w:val="0049373F"/>
    <w:rsid w:val="004972D6"/>
    <w:rsid w:val="004A0A76"/>
    <w:rsid w:val="004A1542"/>
    <w:rsid w:val="004A2450"/>
    <w:rsid w:val="004B0AD4"/>
    <w:rsid w:val="004B4A2C"/>
    <w:rsid w:val="004B7A12"/>
    <w:rsid w:val="004C29DC"/>
    <w:rsid w:val="004C56E9"/>
    <w:rsid w:val="004C79C6"/>
    <w:rsid w:val="004D4DBE"/>
    <w:rsid w:val="004D59AC"/>
    <w:rsid w:val="004E2054"/>
    <w:rsid w:val="004E50E2"/>
    <w:rsid w:val="004E5279"/>
    <w:rsid w:val="004F3F3A"/>
    <w:rsid w:val="005028F7"/>
    <w:rsid w:val="00505CA9"/>
    <w:rsid w:val="00513CDD"/>
    <w:rsid w:val="005179BA"/>
    <w:rsid w:val="005207BC"/>
    <w:rsid w:val="00534AEA"/>
    <w:rsid w:val="00534FCD"/>
    <w:rsid w:val="00540B64"/>
    <w:rsid w:val="00545A53"/>
    <w:rsid w:val="0055097D"/>
    <w:rsid w:val="00554BA8"/>
    <w:rsid w:val="00555012"/>
    <w:rsid w:val="005575C4"/>
    <w:rsid w:val="00561369"/>
    <w:rsid w:val="00562A17"/>
    <w:rsid w:val="00563150"/>
    <w:rsid w:val="00572AFA"/>
    <w:rsid w:val="005924CE"/>
    <w:rsid w:val="005931A7"/>
    <w:rsid w:val="00594F8B"/>
    <w:rsid w:val="00595547"/>
    <w:rsid w:val="005966FF"/>
    <w:rsid w:val="005A0E9E"/>
    <w:rsid w:val="005A167E"/>
    <w:rsid w:val="005A3DAB"/>
    <w:rsid w:val="005A64A6"/>
    <w:rsid w:val="005A6935"/>
    <w:rsid w:val="005B2D74"/>
    <w:rsid w:val="005C00C6"/>
    <w:rsid w:val="005C2214"/>
    <w:rsid w:val="005C637D"/>
    <w:rsid w:val="005C68D8"/>
    <w:rsid w:val="005D2AA2"/>
    <w:rsid w:val="005E03B2"/>
    <w:rsid w:val="005E4588"/>
    <w:rsid w:val="005E7200"/>
    <w:rsid w:val="005F4DB0"/>
    <w:rsid w:val="005F749C"/>
    <w:rsid w:val="00600ECA"/>
    <w:rsid w:val="0060330E"/>
    <w:rsid w:val="006047B3"/>
    <w:rsid w:val="0061133D"/>
    <w:rsid w:val="00611D73"/>
    <w:rsid w:val="00620E14"/>
    <w:rsid w:val="006211A6"/>
    <w:rsid w:val="006240D9"/>
    <w:rsid w:val="00626FD8"/>
    <w:rsid w:val="00634370"/>
    <w:rsid w:val="00637267"/>
    <w:rsid w:val="0064767A"/>
    <w:rsid w:val="00647BAC"/>
    <w:rsid w:val="00661150"/>
    <w:rsid w:val="00687499"/>
    <w:rsid w:val="0068756B"/>
    <w:rsid w:val="00687A1C"/>
    <w:rsid w:val="006A086A"/>
    <w:rsid w:val="006A2965"/>
    <w:rsid w:val="006A5134"/>
    <w:rsid w:val="006A67D1"/>
    <w:rsid w:val="006B498C"/>
    <w:rsid w:val="006B49B0"/>
    <w:rsid w:val="006B7C37"/>
    <w:rsid w:val="006C170F"/>
    <w:rsid w:val="006C1FEA"/>
    <w:rsid w:val="006C3B4F"/>
    <w:rsid w:val="006C3DE1"/>
    <w:rsid w:val="006C7CAD"/>
    <w:rsid w:val="006D6CEB"/>
    <w:rsid w:val="006E1790"/>
    <w:rsid w:val="006E1F16"/>
    <w:rsid w:val="006F7AC3"/>
    <w:rsid w:val="00705C76"/>
    <w:rsid w:val="00706C9B"/>
    <w:rsid w:val="00714F6D"/>
    <w:rsid w:val="00715728"/>
    <w:rsid w:val="00717E7F"/>
    <w:rsid w:val="00723A4F"/>
    <w:rsid w:val="00724BF8"/>
    <w:rsid w:val="00734C54"/>
    <w:rsid w:val="007351B2"/>
    <w:rsid w:val="00736D0E"/>
    <w:rsid w:val="007456B3"/>
    <w:rsid w:val="007555AC"/>
    <w:rsid w:val="00755650"/>
    <w:rsid w:val="007703E7"/>
    <w:rsid w:val="00770B61"/>
    <w:rsid w:val="00775885"/>
    <w:rsid w:val="007834E2"/>
    <w:rsid w:val="00794196"/>
    <w:rsid w:val="0079780C"/>
    <w:rsid w:val="00797DB4"/>
    <w:rsid w:val="007A2B4E"/>
    <w:rsid w:val="007B0C9B"/>
    <w:rsid w:val="007B28DA"/>
    <w:rsid w:val="007B6819"/>
    <w:rsid w:val="007B75BA"/>
    <w:rsid w:val="007C78B3"/>
    <w:rsid w:val="007D2C90"/>
    <w:rsid w:val="007D35F2"/>
    <w:rsid w:val="007E0312"/>
    <w:rsid w:val="007E3D14"/>
    <w:rsid w:val="007E6027"/>
    <w:rsid w:val="007F3442"/>
    <w:rsid w:val="007F61FE"/>
    <w:rsid w:val="007F7674"/>
    <w:rsid w:val="007F7D92"/>
    <w:rsid w:val="00802BCE"/>
    <w:rsid w:val="00803503"/>
    <w:rsid w:val="008052A6"/>
    <w:rsid w:val="00811EEF"/>
    <w:rsid w:val="008153A7"/>
    <w:rsid w:val="0081698A"/>
    <w:rsid w:val="00816B5A"/>
    <w:rsid w:val="00821C2A"/>
    <w:rsid w:val="00823058"/>
    <w:rsid w:val="00825251"/>
    <w:rsid w:val="008277C2"/>
    <w:rsid w:val="00833CD1"/>
    <w:rsid w:val="008354E6"/>
    <w:rsid w:val="00836591"/>
    <w:rsid w:val="008419FF"/>
    <w:rsid w:val="008501CB"/>
    <w:rsid w:val="008560B8"/>
    <w:rsid w:val="00862469"/>
    <w:rsid w:val="00865872"/>
    <w:rsid w:val="00880B64"/>
    <w:rsid w:val="00886F1E"/>
    <w:rsid w:val="008A6E5C"/>
    <w:rsid w:val="008B04E5"/>
    <w:rsid w:val="008B0F75"/>
    <w:rsid w:val="008B51AF"/>
    <w:rsid w:val="008B6FED"/>
    <w:rsid w:val="008B7A80"/>
    <w:rsid w:val="008C3B97"/>
    <w:rsid w:val="008C6BCA"/>
    <w:rsid w:val="008D2A6A"/>
    <w:rsid w:val="008E5FA0"/>
    <w:rsid w:val="008F0020"/>
    <w:rsid w:val="008F0FF3"/>
    <w:rsid w:val="008F2CF6"/>
    <w:rsid w:val="009053DB"/>
    <w:rsid w:val="0090621E"/>
    <w:rsid w:val="00912626"/>
    <w:rsid w:val="00912740"/>
    <w:rsid w:val="009128AE"/>
    <w:rsid w:val="00912C2E"/>
    <w:rsid w:val="009244F9"/>
    <w:rsid w:val="00930869"/>
    <w:rsid w:val="00931C2B"/>
    <w:rsid w:val="00936BD0"/>
    <w:rsid w:val="00937DD0"/>
    <w:rsid w:val="009417F9"/>
    <w:rsid w:val="0094333D"/>
    <w:rsid w:val="00944070"/>
    <w:rsid w:val="00945CAE"/>
    <w:rsid w:val="009517F6"/>
    <w:rsid w:val="00952344"/>
    <w:rsid w:val="009524FB"/>
    <w:rsid w:val="00952AE1"/>
    <w:rsid w:val="00952FB1"/>
    <w:rsid w:val="009564A2"/>
    <w:rsid w:val="00960120"/>
    <w:rsid w:val="00970A0A"/>
    <w:rsid w:val="00970FD2"/>
    <w:rsid w:val="009712C1"/>
    <w:rsid w:val="00976DB2"/>
    <w:rsid w:val="00983CD8"/>
    <w:rsid w:val="0099120D"/>
    <w:rsid w:val="0099258B"/>
    <w:rsid w:val="00993696"/>
    <w:rsid w:val="009A3B67"/>
    <w:rsid w:val="009B2D75"/>
    <w:rsid w:val="009B32F1"/>
    <w:rsid w:val="009B6D49"/>
    <w:rsid w:val="009C7F03"/>
    <w:rsid w:val="009E1873"/>
    <w:rsid w:val="009E2BE3"/>
    <w:rsid w:val="009E6323"/>
    <w:rsid w:val="009F27EB"/>
    <w:rsid w:val="009F3940"/>
    <w:rsid w:val="009F396C"/>
    <w:rsid w:val="009F5B8E"/>
    <w:rsid w:val="00A045F6"/>
    <w:rsid w:val="00A109B1"/>
    <w:rsid w:val="00A10CE5"/>
    <w:rsid w:val="00A113DB"/>
    <w:rsid w:val="00A17E82"/>
    <w:rsid w:val="00A21F06"/>
    <w:rsid w:val="00A230FB"/>
    <w:rsid w:val="00A25414"/>
    <w:rsid w:val="00A30F6A"/>
    <w:rsid w:val="00A45D0B"/>
    <w:rsid w:val="00A55580"/>
    <w:rsid w:val="00A55F63"/>
    <w:rsid w:val="00A605D6"/>
    <w:rsid w:val="00A61894"/>
    <w:rsid w:val="00A65643"/>
    <w:rsid w:val="00A671C6"/>
    <w:rsid w:val="00A679CE"/>
    <w:rsid w:val="00A74BA0"/>
    <w:rsid w:val="00A74C9C"/>
    <w:rsid w:val="00A822F9"/>
    <w:rsid w:val="00A8239D"/>
    <w:rsid w:val="00A83BB5"/>
    <w:rsid w:val="00A865E3"/>
    <w:rsid w:val="00A96081"/>
    <w:rsid w:val="00A966DD"/>
    <w:rsid w:val="00AA720F"/>
    <w:rsid w:val="00AB341A"/>
    <w:rsid w:val="00AC65AE"/>
    <w:rsid w:val="00AC77A0"/>
    <w:rsid w:val="00AD17DC"/>
    <w:rsid w:val="00AE56B3"/>
    <w:rsid w:val="00AE704F"/>
    <w:rsid w:val="00AF15CC"/>
    <w:rsid w:val="00AF5E72"/>
    <w:rsid w:val="00B12374"/>
    <w:rsid w:val="00B24D2B"/>
    <w:rsid w:val="00B26A22"/>
    <w:rsid w:val="00B32C20"/>
    <w:rsid w:val="00B354DF"/>
    <w:rsid w:val="00B356FF"/>
    <w:rsid w:val="00B360B3"/>
    <w:rsid w:val="00B36353"/>
    <w:rsid w:val="00B36DF6"/>
    <w:rsid w:val="00B41C24"/>
    <w:rsid w:val="00B41D85"/>
    <w:rsid w:val="00B426CD"/>
    <w:rsid w:val="00B43371"/>
    <w:rsid w:val="00B47828"/>
    <w:rsid w:val="00B47D9A"/>
    <w:rsid w:val="00B5119A"/>
    <w:rsid w:val="00B5254F"/>
    <w:rsid w:val="00B657AB"/>
    <w:rsid w:val="00B6715E"/>
    <w:rsid w:val="00B72351"/>
    <w:rsid w:val="00B83D72"/>
    <w:rsid w:val="00B84D6C"/>
    <w:rsid w:val="00B855DB"/>
    <w:rsid w:val="00B86DDA"/>
    <w:rsid w:val="00B872A8"/>
    <w:rsid w:val="00B87D0A"/>
    <w:rsid w:val="00B96A5D"/>
    <w:rsid w:val="00B978CE"/>
    <w:rsid w:val="00BA0FA9"/>
    <w:rsid w:val="00BA592C"/>
    <w:rsid w:val="00BA771E"/>
    <w:rsid w:val="00BB3B12"/>
    <w:rsid w:val="00BB5CD0"/>
    <w:rsid w:val="00BB711F"/>
    <w:rsid w:val="00BC26DC"/>
    <w:rsid w:val="00BC2CFD"/>
    <w:rsid w:val="00BD04A9"/>
    <w:rsid w:val="00BD37C6"/>
    <w:rsid w:val="00BD5629"/>
    <w:rsid w:val="00BE5CDE"/>
    <w:rsid w:val="00BF4D8E"/>
    <w:rsid w:val="00C002AC"/>
    <w:rsid w:val="00C12A23"/>
    <w:rsid w:val="00C165C9"/>
    <w:rsid w:val="00C23B4F"/>
    <w:rsid w:val="00C23DA1"/>
    <w:rsid w:val="00C24122"/>
    <w:rsid w:val="00C244C6"/>
    <w:rsid w:val="00C2760D"/>
    <w:rsid w:val="00C34DFF"/>
    <w:rsid w:val="00C37376"/>
    <w:rsid w:val="00C44E11"/>
    <w:rsid w:val="00C533E3"/>
    <w:rsid w:val="00C535BF"/>
    <w:rsid w:val="00C56E3F"/>
    <w:rsid w:val="00C60514"/>
    <w:rsid w:val="00C66441"/>
    <w:rsid w:val="00C746E7"/>
    <w:rsid w:val="00C85D30"/>
    <w:rsid w:val="00CA6832"/>
    <w:rsid w:val="00CA6F21"/>
    <w:rsid w:val="00CB043A"/>
    <w:rsid w:val="00CC76D0"/>
    <w:rsid w:val="00CD3E98"/>
    <w:rsid w:val="00CD4A8E"/>
    <w:rsid w:val="00CD4C17"/>
    <w:rsid w:val="00CD7240"/>
    <w:rsid w:val="00CE7A06"/>
    <w:rsid w:val="00CF00AA"/>
    <w:rsid w:val="00D01FAB"/>
    <w:rsid w:val="00D027D1"/>
    <w:rsid w:val="00D04F63"/>
    <w:rsid w:val="00D17E38"/>
    <w:rsid w:val="00D236E7"/>
    <w:rsid w:val="00D243CF"/>
    <w:rsid w:val="00D2562F"/>
    <w:rsid w:val="00D349B2"/>
    <w:rsid w:val="00D37D6C"/>
    <w:rsid w:val="00D4471E"/>
    <w:rsid w:val="00D4474C"/>
    <w:rsid w:val="00D50700"/>
    <w:rsid w:val="00D536C4"/>
    <w:rsid w:val="00D62D7D"/>
    <w:rsid w:val="00D64773"/>
    <w:rsid w:val="00D66961"/>
    <w:rsid w:val="00D75DB7"/>
    <w:rsid w:val="00D7714C"/>
    <w:rsid w:val="00DA0016"/>
    <w:rsid w:val="00DA25B9"/>
    <w:rsid w:val="00DA3D08"/>
    <w:rsid w:val="00DA582B"/>
    <w:rsid w:val="00DB0E9F"/>
    <w:rsid w:val="00DB2B73"/>
    <w:rsid w:val="00DB5192"/>
    <w:rsid w:val="00DB53D4"/>
    <w:rsid w:val="00DB7AED"/>
    <w:rsid w:val="00DC2FA0"/>
    <w:rsid w:val="00DD2CF4"/>
    <w:rsid w:val="00DE26B7"/>
    <w:rsid w:val="00DE40E0"/>
    <w:rsid w:val="00DE4BA5"/>
    <w:rsid w:val="00DF2A49"/>
    <w:rsid w:val="00DF3A13"/>
    <w:rsid w:val="00DF58A9"/>
    <w:rsid w:val="00E02356"/>
    <w:rsid w:val="00E04CBC"/>
    <w:rsid w:val="00E24F6E"/>
    <w:rsid w:val="00E36340"/>
    <w:rsid w:val="00E37EDD"/>
    <w:rsid w:val="00E538FA"/>
    <w:rsid w:val="00E54480"/>
    <w:rsid w:val="00E57C03"/>
    <w:rsid w:val="00E607EE"/>
    <w:rsid w:val="00E76B7E"/>
    <w:rsid w:val="00E817FB"/>
    <w:rsid w:val="00E85615"/>
    <w:rsid w:val="00E86698"/>
    <w:rsid w:val="00E90535"/>
    <w:rsid w:val="00E91DEC"/>
    <w:rsid w:val="00E932C2"/>
    <w:rsid w:val="00E95810"/>
    <w:rsid w:val="00EA0EF3"/>
    <w:rsid w:val="00EA59C4"/>
    <w:rsid w:val="00EB0BCC"/>
    <w:rsid w:val="00EB280B"/>
    <w:rsid w:val="00EB6659"/>
    <w:rsid w:val="00EC35F0"/>
    <w:rsid w:val="00ED6E1A"/>
    <w:rsid w:val="00ED7626"/>
    <w:rsid w:val="00EE2D3D"/>
    <w:rsid w:val="00EE4D72"/>
    <w:rsid w:val="00EF6660"/>
    <w:rsid w:val="00EF79E3"/>
    <w:rsid w:val="00F070C4"/>
    <w:rsid w:val="00F075A7"/>
    <w:rsid w:val="00F07792"/>
    <w:rsid w:val="00F10358"/>
    <w:rsid w:val="00F12B22"/>
    <w:rsid w:val="00F12C2A"/>
    <w:rsid w:val="00F14080"/>
    <w:rsid w:val="00F2424F"/>
    <w:rsid w:val="00F27C33"/>
    <w:rsid w:val="00F31FC0"/>
    <w:rsid w:val="00F32D92"/>
    <w:rsid w:val="00F331E7"/>
    <w:rsid w:val="00F35035"/>
    <w:rsid w:val="00F40BB4"/>
    <w:rsid w:val="00F41240"/>
    <w:rsid w:val="00F53C79"/>
    <w:rsid w:val="00F54CBF"/>
    <w:rsid w:val="00F56B54"/>
    <w:rsid w:val="00F608D4"/>
    <w:rsid w:val="00F61AF1"/>
    <w:rsid w:val="00F65B0B"/>
    <w:rsid w:val="00F66C96"/>
    <w:rsid w:val="00F679BB"/>
    <w:rsid w:val="00F71F80"/>
    <w:rsid w:val="00F75719"/>
    <w:rsid w:val="00F760B8"/>
    <w:rsid w:val="00F82046"/>
    <w:rsid w:val="00F86CEC"/>
    <w:rsid w:val="00F95634"/>
    <w:rsid w:val="00F97636"/>
    <w:rsid w:val="00FA6E4A"/>
    <w:rsid w:val="00FB5B05"/>
    <w:rsid w:val="00FC0A5E"/>
    <w:rsid w:val="00FE01B9"/>
    <w:rsid w:val="00FE0A5E"/>
    <w:rsid w:val="00FE3D5F"/>
    <w:rsid w:val="00FE5C05"/>
    <w:rsid w:val="00FE5E6B"/>
    <w:rsid w:val="00FE6C44"/>
    <w:rsid w:val="00FE78D6"/>
    <w:rsid w:val="00FF218B"/>
    <w:rsid w:val="00FF24DE"/>
    <w:rsid w:val="00FF7696"/>
    <w:rsid w:val="49383D2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60A661B"/>
  <w15:chartTrackingRefBased/>
  <w15:docId w15:val="{970E458E-0828-46DF-BFAE-6B1C0F3ED9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2450"/>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4A245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A2450"/>
    <w:pPr>
      <w:pBdr>
        <w:top w:val="none" w:sz="0" w:space="0" w:color="auto"/>
      </w:pBdr>
      <w:spacing w:before="180"/>
      <w:outlineLvl w:val="1"/>
    </w:pPr>
    <w:rPr>
      <w:sz w:val="32"/>
    </w:rPr>
  </w:style>
  <w:style w:type="paragraph" w:styleId="Heading3">
    <w:name w:val="heading 3"/>
    <w:basedOn w:val="Heading2"/>
    <w:next w:val="Normal"/>
    <w:qFormat/>
    <w:rsid w:val="004A2450"/>
    <w:pPr>
      <w:spacing w:before="120"/>
      <w:outlineLvl w:val="2"/>
    </w:pPr>
    <w:rPr>
      <w:sz w:val="28"/>
    </w:rPr>
  </w:style>
  <w:style w:type="paragraph" w:styleId="Heading4">
    <w:name w:val="heading 4"/>
    <w:basedOn w:val="Heading3"/>
    <w:next w:val="Normal"/>
    <w:qFormat/>
    <w:rsid w:val="004A2450"/>
    <w:pPr>
      <w:ind w:left="1418" w:hanging="1418"/>
      <w:outlineLvl w:val="3"/>
    </w:pPr>
    <w:rPr>
      <w:sz w:val="24"/>
    </w:rPr>
  </w:style>
  <w:style w:type="paragraph" w:styleId="Heading5">
    <w:name w:val="heading 5"/>
    <w:basedOn w:val="Heading4"/>
    <w:next w:val="Normal"/>
    <w:qFormat/>
    <w:rsid w:val="004A2450"/>
    <w:pPr>
      <w:ind w:left="1701" w:hanging="1701"/>
      <w:outlineLvl w:val="4"/>
    </w:pPr>
    <w:rPr>
      <w:sz w:val="22"/>
    </w:rPr>
  </w:style>
  <w:style w:type="paragraph" w:styleId="Heading6">
    <w:name w:val="heading 6"/>
    <w:basedOn w:val="H6"/>
    <w:next w:val="Normal"/>
    <w:qFormat/>
    <w:rsid w:val="004A2450"/>
    <w:pPr>
      <w:outlineLvl w:val="5"/>
    </w:pPr>
  </w:style>
  <w:style w:type="paragraph" w:styleId="Heading7">
    <w:name w:val="heading 7"/>
    <w:basedOn w:val="H6"/>
    <w:next w:val="Normal"/>
    <w:qFormat/>
    <w:rsid w:val="004A2450"/>
    <w:pPr>
      <w:outlineLvl w:val="6"/>
    </w:pPr>
  </w:style>
  <w:style w:type="paragraph" w:styleId="Heading8">
    <w:name w:val="heading 8"/>
    <w:basedOn w:val="Heading1"/>
    <w:next w:val="Normal"/>
    <w:qFormat/>
    <w:rsid w:val="004A2450"/>
    <w:pPr>
      <w:ind w:left="0" w:firstLine="0"/>
      <w:outlineLvl w:val="7"/>
    </w:pPr>
  </w:style>
  <w:style w:type="paragraph" w:styleId="Heading9">
    <w:name w:val="heading 9"/>
    <w:basedOn w:val="Heading8"/>
    <w:next w:val="Normal"/>
    <w:qFormat/>
    <w:rsid w:val="004A2450"/>
    <w:pPr>
      <w:outlineLvl w:val="8"/>
    </w:pPr>
  </w:style>
  <w:style w:type="character" w:default="1" w:styleId="DefaultParagraphFont">
    <w:name w:val="Default Paragraph Font"/>
    <w:semiHidden/>
    <w:rsid w:val="004A245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A2450"/>
  </w:style>
  <w:style w:type="paragraph" w:styleId="TOC8">
    <w:name w:val="toc 8"/>
    <w:basedOn w:val="TOC1"/>
    <w:semiHidden/>
    <w:rsid w:val="004A2450"/>
    <w:pPr>
      <w:spacing w:before="180"/>
      <w:ind w:left="2693" w:hanging="2693"/>
    </w:pPr>
    <w:rPr>
      <w:b/>
    </w:rPr>
  </w:style>
  <w:style w:type="paragraph" w:styleId="TOC1">
    <w:name w:val="toc 1"/>
    <w:semiHidden/>
    <w:rsid w:val="004A245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4A245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semiHidden/>
    <w:rsid w:val="004A2450"/>
    <w:pPr>
      <w:ind w:left="1701" w:hanging="1701"/>
    </w:pPr>
  </w:style>
  <w:style w:type="paragraph" w:styleId="TOC4">
    <w:name w:val="toc 4"/>
    <w:basedOn w:val="TOC3"/>
    <w:semiHidden/>
    <w:rsid w:val="004A2450"/>
    <w:pPr>
      <w:ind w:left="1418" w:hanging="1418"/>
    </w:pPr>
  </w:style>
  <w:style w:type="paragraph" w:styleId="TOC3">
    <w:name w:val="toc 3"/>
    <w:basedOn w:val="TOC2"/>
    <w:semiHidden/>
    <w:rsid w:val="004A2450"/>
    <w:pPr>
      <w:ind w:left="1134" w:hanging="1134"/>
    </w:pPr>
  </w:style>
  <w:style w:type="paragraph" w:styleId="TOC2">
    <w:name w:val="toc 2"/>
    <w:basedOn w:val="TOC1"/>
    <w:semiHidden/>
    <w:rsid w:val="004A2450"/>
    <w:pPr>
      <w:keepNext w:val="0"/>
      <w:spacing w:before="0"/>
      <w:ind w:left="851" w:hanging="851"/>
    </w:pPr>
    <w:rPr>
      <w:sz w:val="20"/>
    </w:rPr>
  </w:style>
  <w:style w:type="paragraph" w:styleId="Index2">
    <w:name w:val="index 2"/>
    <w:basedOn w:val="Index1"/>
    <w:semiHidden/>
    <w:rsid w:val="004A2450"/>
    <w:pPr>
      <w:ind w:left="284"/>
    </w:pPr>
  </w:style>
  <w:style w:type="paragraph" w:styleId="Index1">
    <w:name w:val="index 1"/>
    <w:basedOn w:val="Normal"/>
    <w:semiHidden/>
    <w:rsid w:val="004A2450"/>
    <w:pPr>
      <w:keepLines/>
      <w:spacing w:after="0"/>
    </w:pPr>
  </w:style>
  <w:style w:type="paragraph" w:customStyle="1" w:styleId="ZH">
    <w:name w:val="ZH"/>
    <w:rsid w:val="004A245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4A2450"/>
    <w:pPr>
      <w:outlineLvl w:val="9"/>
    </w:pPr>
  </w:style>
  <w:style w:type="paragraph" w:styleId="ListNumber2">
    <w:name w:val="List Number 2"/>
    <w:basedOn w:val="ListNumber"/>
    <w:semiHidden/>
    <w:rsid w:val="004A2450"/>
    <w:pPr>
      <w:ind w:left="851"/>
    </w:pPr>
  </w:style>
  <w:style w:type="paragraph" w:styleId="Header">
    <w:name w:val="header"/>
    <w:semiHidden/>
    <w:rsid w:val="004A2450"/>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4A2450"/>
    <w:rPr>
      <w:b/>
      <w:position w:val="6"/>
      <w:sz w:val="16"/>
    </w:rPr>
  </w:style>
  <w:style w:type="paragraph" w:styleId="FootnoteText">
    <w:name w:val="footnote text"/>
    <w:basedOn w:val="Normal"/>
    <w:semiHidden/>
    <w:rsid w:val="004A2450"/>
    <w:pPr>
      <w:keepLines/>
      <w:spacing w:after="0"/>
      <w:ind w:left="454" w:hanging="454"/>
    </w:pPr>
    <w:rPr>
      <w:sz w:val="16"/>
    </w:rPr>
  </w:style>
  <w:style w:type="paragraph" w:customStyle="1" w:styleId="TAH">
    <w:name w:val="TAH"/>
    <w:basedOn w:val="TAC"/>
    <w:link w:val="TAHCar"/>
    <w:rsid w:val="004A2450"/>
    <w:rPr>
      <w:b/>
    </w:rPr>
  </w:style>
  <w:style w:type="paragraph" w:customStyle="1" w:styleId="TAC">
    <w:name w:val="TAC"/>
    <w:basedOn w:val="TAL"/>
    <w:link w:val="TACChar"/>
    <w:rsid w:val="004A2450"/>
    <w:pPr>
      <w:jc w:val="center"/>
    </w:pPr>
  </w:style>
  <w:style w:type="paragraph" w:customStyle="1" w:styleId="TF">
    <w:name w:val="TF"/>
    <w:basedOn w:val="TH"/>
    <w:rsid w:val="004A2450"/>
    <w:pPr>
      <w:keepNext w:val="0"/>
      <w:spacing w:before="0" w:after="240"/>
    </w:pPr>
  </w:style>
  <w:style w:type="paragraph" w:customStyle="1" w:styleId="NO">
    <w:name w:val="NO"/>
    <w:basedOn w:val="Normal"/>
    <w:rsid w:val="004A2450"/>
    <w:pPr>
      <w:keepLines/>
      <w:ind w:left="1135" w:hanging="851"/>
    </w:pPr>
  </w:style>
  <w:style w:type="paragraph" w:styleId="TOC9">
    <w:name w:val="toc 9"/>
    <w:basedOn w:val="TOC8"/>
    <w:semiHidden/>
    <w:rsid w:val="004A2450"/>
    <w:pPr>
      <w:ind w:left="1418" w:hanging="1418"/>
    </w:pPr>
  </w:style>
  <w:style w:type="paragraph" w:customStyle="1" w:styleId="EX">
    <w:name w:val="EX"/>
    <w:basedOn w:val="Normal"/>
    <w:rsid w:val="004A2450"/>
    <w:pPr>
      <w:keepLines/>
      <w:ind w:left="1702" w:hanging="1418"/>
    </w:pPr>
  </w:style>
  <w:style w:type="paragraph" w:customStyle="1" w:styleId="FP">
    <w:name w:val="FP"/>
    <w:basedOn w:val="Normal"/>
    <w:rsid w:val="004A2450"/>
    <w:pPr>
      <w:spacing w:after="0"/>
    </w:pPr>
  </w:style>
  <w:style w:type="paragraph" w:customStyle="1" w:styleId="LD">
    <w:name w:val="LD"/>
    <w:rsid w:val="004A2450"/>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4A2450"/>
    <w:pPr>
      <w:spacing w:after="0"/>
    </w:pPr>
  </w:style>
  <w:style w:type="paragraph" w:customStyle="1" w:styleId="EW">
    <w:name w:val="EW"/>
    <w:basedOn w:val="EX"/>
    <w:rsid w:val="004A2450"/>
    <w:pPr>
      <w:spacing w:after="0"/>
    </w:pPr>
  </w:style>
  <w:style w:type="paragraph" w:styleId="TOC6">
    <w:name w:val="toc 6"/>
    <w:basedOn w:val="TOC5"/>
    <w:next w:val="Normal"/>
    <w:semiHidden/>
    <w:rsid w:val="004A2450"/>
    <w:pPr>
      <w:ind w:left="1985" w:hanging="1985"/>
    </w:pPr>
  </w:style>
  <w:style w:type="paragraph" w:styleId="TOC7">
    <w:name w:val="toc 7"/>
    <w:basedOn w:val="TOC6"/>
    <w:next w:val="Normal"/>
    <w:semiHidden/>
    <w:rsid w:val="004A2450"/>
    <w:pPr>
      <w:ind w:left="2268" w:hanging="2268"/>
    </w:pPr>
  </w:style>
  <w:style w:type="paragraph" w:styleId="ListBullet2">
    <w:name w:val="List Bullet 2"/>
    <w:basedOn w:val="ListBullet"/>
    <w:semiHidden/>
    <w:rsid w:val="004A2450"/>
    <w:pPr>
      <w:ind w:left="851"/>
    </w:pPr>
  </w:style>
  <w:style w:type="paragraph" w:styleId="ListBullet3">
    <w:name w:val="List Bullet 3"/>
    <w:basedOn w:val="ListBullet2"/>
    <w:semiHidden/>
    <w:rsid w:val="004A2450"/>
    <w:pPr>
      <w:ind w:left="1135"/>
    </w:pPr>
  </w:style>
  <w:style w:type="paragraph" w:styleId="ListNumber">
    <w:name w:val="List Number"/>
    <w:basedOn w:val="List"/>
    <w:semiHidden/>
    <w:rsid w:val="004A2450"/>
  </w:style>
  <w:style w:type="paragraph" w:customStyle="1" w:styleId="EQ">
    <w:name w:val="EQ"/>
    <w:basedOn w:val="Normal"/>
    <w:next w:val="Normal"/>
    <w:rsid w:val="004A2450"/>
    <w:pPr>
      <w:keepLines/>
      <w:tabs>
        <w:tab w:val="center" w:pos="4536"/>
        <w:tab w:val="right" w:pos="9072"/>
      </w:tabs>
    </w:pPr>
    <w:rPr>
      <w:noProof/>
    </w:rPr>
  </w:style>
  <w:style w:type="paragraph" w:customStyle="1" w:styleId="TH">
    <w:name w:val="TH"/>
    <w:basedOn w:val="Normal"/>
    <w:rsid w:val="004A2450"/>
    <w:pPr>
      <w:keepNext/>
      <w:keepLines/>
      <w:spacing w:before="60"/>
      <w:jc w:val="center"/>
    </w:pPr>
    <w:rPr>
      <w:rFonts w:ascii="Arial" w:hAnsi="Arial"/>
      <w:b/>
    </w:rPr>
  </w:style>
  <w:style w:type="paragraph" w:customStyle="1" w:styleId="NF">
    <w:name w:val="NF"/>
    <w:basedOn w:val="NO"/>
    <w:rsid w:val="004A2450"/>
    <w:pPr>
      <w:keepNext/>
      <w:spacing w:after="0"/>
    </w:pPr>
    <w:rPr>
      <w:rFonts w:ascii="Arial" w:hAnsi="Arial"/>
      <w:sz w:val="18"/>
    </w:rPr>
  </w:style>
  <w:style w:type="paragraph" w:customStyle="1" w:styleId="PL">
    <w:name w:val="PL"/>
    <w:rsid w:val="004A24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A2450"/>
    <w:pPr>
      <w:jc w:val="right"/>
    </w:pPr>
  </w:style>
  <w:style w:type="paragraph" w:customStyle="1" w:styleId="H6">
    <w:name w:val="H6"/>
    <w:basedOn w:val="Heading5"/>
    <w:next w:val="Normal"/>
    <w:rsid w:val="004A2450"/>
    <w:pPr>
      <w:ind w:left="1985" w:hanging="1985"/>
      <w:outlineLvl w:val="9"/>
    </w:pPr>
    <w:rPr>
      <w:sz w:val="20"/>
    </w:rPr>
  </w:style>
  <w:style w:type="paragraph" w:customStyle="1" w:styleId="TAN">
    <w:name w:val="TAN"/>
    <w:basedOn w:val="TAL"/>
    <w:link w:val="TANChar"/>
    <w:rsid w:val="004A2450"/>
    <w:pPr>
      <w:ind w:left="851" w:hanging="851"/>
    </w:pPr>
  </w:style>
  <w:style w:type="paragraph" w:customStyle="1" w:styleId="TAL">
    <w:name w:val="TAL"/>
    <w:basedOn w:val="Normal"/>
    <w:rsid w:val="004A2450"/>
    <w:pPr>
      <w:keepNext/>
      <w:keepLines/>
      <w:spacing w:after="0"/>
    </w:pPr>
    <w:rPr>
      <w:rFonts w:ascii="Arial" w:hAnsi="Arial"/>
      <w:sz w:val="18"/>
    </w:rPr>
  </w:style>
  <w:style w:type="paragraph" w:customStyle="1" w:styleId="ZA">
    <w:name w:val="ZA"/>
    <w:rsid w:val="004A245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A245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4A245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4A245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4A2450"/>
    <w:pPr>
      <w:framePr w:wrap="notBeside" w:y="16161"/>
    </w:pPr>
  </w:style>
  <w:style w:type="character" w:customStyle="1" w:styleId="ZGSM">
    <w:name w:val="ZGSM"/>
    <w:rsid w:val="004A2450"/>
  </w:style>
  <w:style w:type="paragraph" w:styleId="List2">
    <w:name w:val="List 2"/>
    <w:basedOn w:val="List"/>
    <w:semiHidden/>
    <w:rsid w:val="004A2450"/>
    <w:pPr>
      <w:ind w:left="851"/>
    </w:pPr>
  </w:style>
  <w:style w:type="paragraph" w:customStyle="1" w:styleId="ZG">
    <w:name w:val="ZG"/>
    <w:rsid w:val="004A245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4A2450"/>
    <w:pPr>
      <w:ind w:left="1135"/>
    </w:pPr>
  </w:style>
  <w:style w:type="paragraph" w:styleId="List4">
    <w:name w:val="List 4"/>
    <w:basedOn w:val="List3"/>
    <w:semiHidden/>
    <w:rsid w:val="004A2450"/>
    <w:pPr>
      <w:ind w:left="1418"/>
    </w:pPr>
  </w:style>
  <w:style w:type="paragraph" w:styleId="List5">
    <w:name w:val="List 5"/>
    <w:basedOn w:val="List4"/>
    <w:semiHidden/>
    <w:rsid w:val="004A2450"/>
    <w:pPr>
      <w:ind w:left="1702"/>
    </w:pPr>
  </w:style>
  <w:style w:type="paragraph" w:customStyle="1" w:styleId="EditorsNote">
    <w:name w:val="Editor's Note"/>
    <w:basedOn w:val="NO"/>
    <w:rsid w:val="004A2450"/>
    <w:rPr>
      <w:color w:val="FF0000"/>
    </w:rPr>
  </w:style>
  <w:style w:type="paragraph" w:styleId="List">
    <w:name w:val="List"/>
    <w:basedOn w:val="Normal"/>
    <w:semiHidden/>
    <w:rsid w:val="004A2450"/>
    <w:pPr>
      <w:ind w:left="568" w:hanging="284"/>
    </w:pPr>
  </w:style>
  <w:style w:type="paragraph" w:styleId="ListBullet">
    <w:name w:val="List Bullet"/>
    <w:basedOn w:val="List"/>
    <w:semiHidden/>
    <w:rsid w:val="004A2450"/>
  </w:style>
  <w:style w:type="paragraph" w:styleId="ListBullet4">
    <w:name w:val="List Bullet 4"/>
    <w:basedOn w:val="ListBullet3"/>
    <w:semiHidden/>
    <w:rsid w:val="004A2450"/>
    <w:pPr>
      <w:ind w:left="1418"/>
    </w:pPr>
  </w:style>
  <w:style w:type="paragraph" w:styleId="ListBullet5">
    <w:name w:val="List Bullet 5"/>
    <w:basedOn w:val="ListBullet4"/>
    <w:semiHidden/>
    <w:rsid w:val="004A2450"/>
    <w:pPr>
      <w:ind w:left="1702"/>
    </w:pPr>
  </w:style>
  <w:style w:type="paragraph" w:customStyle="1" w:styleId="B1">
    <w:name w:val="B1"/>
    <w:basedOn w:val="List"/>
    <w:rsid w:val="004A2450"/>
  </w:style>
  <w:style w:type="paragraph" w:customStyle="1" w:styleId="B2">
    <w:name w:val="B2"/>
    <w:basedOn w:val="List2"/>
    <w:rsid w:val="004A2450"/>
  </w:style>
  <w:style w:type="paragraph" w:customStyle="1" w:styleId="B3">
    <w:name w:val="B3"/>
    <w:basedOn w:val="List3"/>
    <w:rsid w:val="004A2450"/>
  </w:style>
  <w:style w:type="paragraph" w:customStyle="1" w:styleId="B4">
    <w:name w:val="B4"/>
    <w:basedOn w:val="List4"/>
    <w:rsid w:val="004A2450"/>
  </w:style>
  <w:style w:type="paragraph" w:customStyle="1" w:styleId="B5">
    <w:name w:val="B5"/>
    <w:basedOn w:val="List5"/>
    <w:rsid w:val="004A2450"/>
  </w:style>
  <w:style w:type="paragraph" w:styleId="Footer">
    <w:name w:val="footer"/>
    <w:basedOn w:val="Header"/>
    <w:semiHidden/>
    <w:rsid w:val="004A2450"/>
    <w:pPr>
      <w:jc w:val="center"/>
    </w:pPr>
    <w:rPr>
      <w:i/>
    </w:rPr>
  </w:style>
  <w:style w:type="paragraph" w:customStyle="1" w:styleId="ZTD">
    <w:name w:val="ZTD"/>
    <w:basedOn w:val="ZB"/>
    <w:rsid w:val="004A2450"/>
    <w:pPr>
      <w:framePr w:hRule="auto" w:wrap="notBeside" w:y="852"/>
    </w:pPr>
    <w:rPr>
      <w:i w:val="0"/>
      <w:sz w:val="40"/>
    </w:rPr>
  </w:style>
  <w:style w:type="paragraph" w:styleId="NoSpacing">
    <w:name w:val="No Spacing"/>
    <w:uiPriority w:val="1"/>
    <w:qFormat/>
    <w:rsid w:val="000611C6"/>
    <w:rPr>
      <w:rFonts w:ascii="Times New Roman" w:hAnsi="Times New Roman"/>
      <w:lang w:val="en-US" w:eastAsia="en-US"/>
    </w:rPr>
  </w:style>
  <w:style w:type="paragraph" w:styleId="BodyText">
    <w:name w:val="Body Text"/>
    <w:aliases w:val="bt"/>
    <w:basedOn w:val="Normal"/>
    <w:link w:val="BodyTextChar"/>
    <w:rsid w:val="000611C6"/>
    <w:pPr>
      <w:spacing w:after="120"/>
      <w:jc w:val="both"/>
    </w:pPr>
    <w:rPr>
      <w:rFonts w:ascii="Times" w:eastAsia="SimSun" w:hAnsi="Times"/>
      <w:szCs w:val="24"/>
      <w:lang w:val="en-US" w:eastAsia="en-US"/>
    </w:rPr>
  </w:style>
  <w:style w:type="character" w:customStyle="1" w:styleId="BodyTextChar">
    <w:name w:val="Body Text Char"/>
    <w:aliases w:val="bt Char"/>
    <w:basedOn w:val="DefaultParagraphFont"/>
    <w:link w:val="BodyText"/>
    <w:rsid w:val="000611C6"/>
    <w:rPr>
      <w:rFonts w:ascii="Times" w:eastAsia="SimSun" w:hAnsi="Times"/>
      <w:szCs w:val="24"/>
      <w:lang w:val="en-US" w:eastAsia="en-US"/>
    </w:rPr>
  </w:style>
  <w:style w:type="paragraph" w:styleId="ListParagraph">
    <w:name w:val="List Paragraph"/>
    <w:basedOn w:val="Normal"/>
    <w:uiPriority w:val="34"/>
    <w:qFormat/>
    <w:rsid w:val="00F61AF1"/>
    <w:pPr>
      <w:ind w:left="720"/>
      <w:contextualSpacing/>
    </w:pPr>
  </w:style>
  <w:style w:type="paragraph" w:styleId="Caption">
    <w:name w:val="caption"/>
    <w:basedOn w:val="Normal"/>
    <w:next w:val="Normal"/>
    <w:uiPriority w:val="35"/>
    <w:unhideWhenUsed/>
    <w:qFormat/>
    <w:rsid w:val="0055097D"/>
    <w:rPr>
      <w:b/>
      <w:bCs/>
    </w:rPr>
  </w:style>
  <w:style w:type="table" w:styleId="TableGrid">
    <w:name w:val="Table Grid"/>
    <w:basedOn w:val="TableNormal"/>
    <w:uiPriority w:val="39"/>
    <w:rsid w:val="00EA0E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45D0B"/>
    <w:rPr>
      <w:rFonts w:ascii="Times New Roman" w:hAnsi="Times New Roman"/>
    </w:rPr>
  </w:style>
  <w:style w:type="character" w:customStyle="1" w:styleId="TACChar">
    <w:name w:val="TAC Char"/>
    <w:link w:val="TAC"/>
    <w:qFormat/>
    <w:rsid w:val="00253847"/>
    <w:rPr>
      <w:rFonts w:ascii="Arial" w:hAnsi="Arial"/>
      <w:sz w:val="18"/>
    </w:rPr>
  </w:style>
  <w:style w:type="character" w:customStyle="1" w:styleId="TAHCar">
    <w:name w:val="TAH Car"/>
    <w:link w:val="TAH"/>
    <w:qFormat/>
    <w:rsid w:val="00253847"/>
    <w:rPr>
      <w:rFonts w:ascii="Arial" w:hAnsi="Arial"/>
      <w:b/>
      <w:sz w:val="18"/>
    </w:rPr>
  </w:style>
  <w:style w:type="character" w:customStyle="1" w:styleId="TANChar">
    <w:name w:val="TAN Char"/>
    <w:link w:val="TAN"/>
    <w:qFormat/>
    <w:rsid w:val="00253847"/>
    <w:rPr>
      <w:rFonts w:ascii="Arial" w:hAnsi="Arial"/>
      <w:sz w:val="18"/>
    </w:rPr>
  </w:style>
  <w:style w:type="paragraph" w:customStyle="1" w:styleId="TableParagraph">
    <w:name w:val="Table Paragraph"/>
    <w:basedOn w:val="Normal"/>
    <w:uiPriority w:val="1"/>
    <w:qFormat/>
    <w:rsid w:val="00AC77A0"/>
    <w:pPr>
      <w:widowControl w:val="0"/>
      <w:overflowPunct/>
      <w:adjustRightInd/>
      <w:spacing w:after="0"/>
      <w:ind w:left="18"/>
      <w:jc w:val="center"/>
      <w:textAlignment w:val="auto"/>
    </w:pPr>
    <w:rPr>
      <w:rFonts w:ascii="Arial" w:eastAsia="Arial" w:hAnsi="Arial" w:cs="Arial"/>
      <w:sz w:val="22"/>
      <w:szCs w:val="22"/>
      <w:lang w:val="en-US" w:eastAsia="en-US"/>
    </w:rPr>
  </w:style>
  <w:style w:type="character" w:styleId="Hyperlink">
    <w:name w:val="Hyperlink"/>
    <w:basedOn w:val="DefaultParagraphFont"/>
    <w:uiPriority w:val="99"/>
    <w:unhideWhenUsed/>
    <w:rsid w:val="00F31FC0"/>
    <w:rPr>
      <w:color w:val="467886" w:themeColor="hyperlink"/>
      <w:u w:val="single"/>
    </w:rPr>
  </w:style>
  <w:style w:type="character" w:styleId="UnresolvedMention">
    <w:name w:val="Unresolved Mention"/>
    <w:basedOn w:val="DefaultParagraphFont"/>
    <w:uiPriority w:val="99"/>
    <w:semiHidden/>
    <w:unhideWhenUsed/>
    <w:rsid w:val="00F31FC0"/>
    <w:rPr>
      <w:color w:val="605E5C"/>
      <w:shd w:val="clear" w:color="auto" w:fill="E1DFDD"/>
    </w:rPr>
  </w:style>
  <w:style w:type="paragraph" w:customStyle="1" w:styleId="Table">
    <w:name w:val="Table_#"/>
    <w:basedOn w:val="Normal"/>
    <w:next w:val="Normal"/>
    <w:rsid w:val="00302C3F"/>
    <w:pPr>
      <w:keepNext/>
      <w:spacing w:before="567" w:after="113"/>
      <w:jc w:val="center"/>
    </w:pPr>
    <w:rPr>
      <w:sz w:val="18"/>
      <w:lang w:eastAsia="en-US"/>
    </w:rPr>
  </w:style>
  <w:style w:type="paragraph" w:customStyle="1" w:styleId="TableText">
    <w:name w:val="Table_Text"/>
    <w:basedOn w:val="Normal"/>
    <w:rsid w:val="00302C3F"/>
    <w:pPr>
      <w:keepNext/>
      <w:tabs>
        <w:tab w:val="left" w:pos="794"/>
        <w:tab w:val="left" w:pos="1191"/>
        <w:tab w:val="left" w:pos="1588"/>
        <w:tab w:val="left" w:pos="1985"/>
      </w:tabs>
      <w:spacing w:before="100" w:after="100" w:line="190" w:lineRule="exact"/>
      <w:jc w:val="both"/>
    </w:pPr>
    <w:rPr>
      <w:sz w:val="18"/>
      <w:lang w:eastAsia="en-US"/>
    </w:rPr>
  </w:style>
  <w:style w:type="paragraph" w:customStyle="1" w:styleId="TableLegend">
    <w:name w:val="Table_Legend"/>
    <w:basedOn w:val="Normal"/>
    <w:next w:val="Normal"/>
    <w:rsid w:val="00A045F6"/>
    <w:pPr>
      <w:keepNext/>
      <w:tabs>
        <w:tab w:val="left" w:pos="794"/>
        <w:tab w:val="left" w:pos="1191"/>
        <w:tab w:val="left" w:pos="1588"/>
        <w:tab w:val="left" w:pos="1985"/>
      </w:tabs>
      <w:spacing w:before="86" w:after="0" w:line="199" w:lineRule="exact"/>
      <w:ind w:left="-85" w:right="-85"/>
      <w:jc w:val="both"/>
    </w:pPr>
    <w:rPr>
      <w:sz w:val="18"/>
      <w:lang w:eastAsia="en-US"/>
    </w:rPr>
  </w:style>
  <w:style w:type="paragraph" w:customStyle="1" w:styleId="Note">
    <w:name w:val="Note"/>
    <w:basedOn w:val="Normal"/>
    <w:next w:val="Normal"/>
    <w:rsid w:val="00A045F6"/>
    <w:pPr>
      <w:spacing w:before="80" w:after="0"/>
      <w:jc w:val="both"/>
    </w:pPr>
    <w:rPr>
      <w:lang w:eastAsia="en-US"/>
    </w:rPr>
  </w:style>
  <w:style w:type="paragraph" w:styleId="TableofFigures">
    <w:name w:val="table of figures"/>
    <w:basedOn w:val="Normal"/>
    <w:next w:val="Normal"/>
    <w:uiPriority w:val="99"/>
    <w:unhideWhenUsed/>
    <w:rsid w:val="006B7C37"/>
    <w:pPr>
      <w:spacing w:after="0"/>
    </w:pPr>
  </w:style>
  <w:style w:type="paragraph" w:customStyle="1" w:styleId="TableTitle">
    <w:name w:val="Table_Title"/>
    <w:basedOn w:val="Table"/>
    <w:next w:val="Normal"/>
    <w:rsid w:val="00952AE1"/>
    <w:pPr>
      <w:spacing w:before="0"/>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13" Type="http://schemas.openxmlformats.org/officeDocument/2006/relationships/customXml" Target="ink/ink2.xml"/><Relationship Id="rId18" Type="http://schemas.openxmlformats.org/officeDocument/2006/relationships/image" Target="media/image6.png"/><Relationship Id="rId26" Type="http://schemas.openxmlformats.org/officeDocument/2006/relationships/hyperlink" Target="https://www.ecfr.gov/current/title-47/chapter-I/subchapter-B/part-25" TargetMode="External"/><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hyperlink" Target="https://www.ecfr.gov/current/title-47/chapter-I/subchapter-A/part-2/subpart-B/section-2.106"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ustomXml" Target="ink/ink1.xml"/><Relationship Id="rId24" Type="http://schemas.openxmlformats.org/officeDocument/2006/relationships/hyperlink" Target="https://www.etsi.org/deliver/etsi_en/301600_301699/301681/02.01.02_60/en_301681v020102p.pdf"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www.itu.int/rec/R-REC-M.1480-0-200005-I/en" TargetMode="External"/><Relationship Id="rId28" Type="http://schemas.openxmlformats.org/officeDocument/2006/relationships/hyperlink" Target="https://www.ntia.doc.gov/files/ntia/publications/compendium/1660.00-1660.50_01MAY15.pdf" TargetMode="Externa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hyperlink" Target="https://www.ntia.gov/files/ntia/publications/compendium/1660.50-1668.40_01DEC15.pdf" TargetMode="External"/><Relationship Id="rId30" Type="http://schemas.openxmlformats.org/officeDocument/2006/relationships/header" Target="header2.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uca%20Lodigiani\inmarsat.com\3GPP%20RAN4%20-%20General\24%20-%20RAN4\MEETINGS\113%20Orlando\Out%20Contribution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0-10T10:52:46.936"/>
    </inkml:context>
    <inkml:brush xml:id="br0">
      <inkml:brushProperty name="width" value="0.035" units="cm"/>
      <inkml:brushProperty name="height" value="0.035" units="cm"/>
    </inkml:brush>
  </inkml:definitions>
  <inkml:trace contextRef="#ctx0" brushRef="#br0">23 1 24575,'-4'0'0,"-5"0"0,0 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0-10T10:52:45.586"/>
    </inkml:context>
    <inkml:brush xml:id="br0">
      <inkml:brushProperty name="width" value="0.035" units="cm"/>
      <inkml:brushProperty name="height" value="0.035" units="cm"/>
    </inkml:brush>
  </inkml:definitions>
  <inkml:trace contextRef="#ctx0" brushRef="#br0">0 1 24575,'0'0'-8191</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74fc1b7d-2491-4325-b4ba-4ded840cc5c3" xsi:nil="true"/>
    <lcf76f155ced4ddcb4097134ff3c332f xmlns="9521437f-7a5f-4c0e-989d-711dce789f28">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98573469650B343AF314866C5FCEB84" ma:contentTypeVersion="15" ma:contentTypeDescription="Create a new document." ma:contentTypeScope="" ma:versionID="b39ae841a2cb10cbdb341aa250dc5a45">
  <xsd:schema xmlns:xsd="http://www.w3.org/2001/XMLSchema" xmlns:xs="http://www.w3.org/2001/XMLSchema" xmlns:p="http://schemas.microsoft.com/office/2006/metadata/properties" xmlns:ns2="9521437f-7a5f-4c0e-989d-711dce789f28" xmlns:ns3="74fc1b7d-2491-4325-b4ba-4ded840cc5c3" xmlns:ns4="74454b63-66bb-4212-8455-87ee665820ff" targetNamespace="http://schemas.microsoft.com/office/2006/metadata/properties" ma:root="true" ma:fieldsID="90aab5c4ac859f4235775eccbc774661" ns2:_="" ns3:_="" ns4:_="">
    <xsd:import namespace="9521437f-7a5f-4c0e-989d-711dce789f28"/>
    <xsd:import namespace="74fc1b7d-2491-4325-b4ba-4ded840cc5c3"/>
    <xsd:import namespace="74454b63-66bb-4212-8455-87ee665820f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4:SharedWithUsers" minOccurs="0"/>
                <xsd:element ref="ns4: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21437f-7a5f-4c0e-989d-711dce789f2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cb230259-a6c1-4255-b092-dfd9b14cf0e7"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4fc1b7d-2491-4325-b4ba-4ded840cc5c3"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4be809d-45e1-4c5e-914a-39d2d6d724e5}" ma:internalName="TaxCatchAll" ma:showField="CatchAllData" ma:web="74454b63-66bb-4212-8455-87ee665820f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4454b63-66bb-4212-8455-87ee665820ff" elementFormDefault="qualified">
    <xsd:import namespace="http://schemas.microsoft.com/office/2006/documentManagement/types"/>
    <xsd:import namespace="http://schemas.microsoft.com/office/infopath/2007/PartnerControls"/>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D012F14-1A12-4E8F-A673-623AD1C9104F}">
  <ds:schemaRefs>
    <ds:schemaRef ds:uri="http://schemas.openxmlformats.org/officeDocument/2006/bibliography"/>
  </ds:schemaRefs>
</ds:datastoreItem>
</file>

<file path=customXml/itemProps2.xml><?xml version="1.0" encoding="utf-8"?>
<ds:datastoreItem xmlns:ds="http://schemas.openxmlformats.org/officeDocument/2006/customXml" ds:itemID="{7005096D-773F-4C5D-A1FF-51EDCDC9A3B3}">
  <ds:schemaRefs>
    <ds:schemaRef ds:uri="http://schemas.microsoft.com/office/2006/metadata/properties"/>
    <ds:schemaRef ds:uri="http://schemas.microsoft.com/office/infopath/2007/PartnerControls"/>
    <ds:schemaRef ds:uri="74fc1b7d-2491-4325-b4ba-4ded840cc5c3"/>
    <ds:schemaRef ds:uri="9521437f-7a5f-4c0e-989d-711dce789f28"/>
  </ds:schemaRefs>
</ds:datastoreItem>
</file>

<file path=customXml/itemProps3.xml><?xml version="1.0" encoding="utf-8"?>
<ds:datastoreItem xmlns:ds="http://schemas.openxmlformats.org/officeDocument/2006/customXml" ds:itemID="{A629DED8-60D6-4111-A6A2-6C4FD4F293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21437f-7a5f-4c0e-989d-711dce789f28"/>
    <ds:schemaRef ds:uri="74fc1b7d-2491-4325-b4ba-4ded840cc5c3"/>
    <ds:schemaRef ds:uri="74454b63-66bb-4212-8455-87ee665820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AD71EB0-96B6-4102-8241-1FCF105F38C2}">
  <ds:schemaRefs>
    <ds:schemaRef ds:uri="http://schemas.microsoft.com/sharepoint/v3/contenttype/forms"/>
  </ds:schemaRefs>
</ds:datastoreItem>
</file>

<file path=docMetadata/LabelInfo.xml><?xml version="1.0" encoding="utf-8"?>
<clbl:labelList xmlns:clbl="http://schemas.microsoft.com/office/2020/mipLabelMetadata">
  <clbl:label id="{43eba056-5ca4-4871-89ac-bdd09160ce7e}" enabled="0" method="" siteId="{43eba056-5ca4-4871-89ac-bdd09160ce7e}" removed="1"/>
</clbl:labelList>
</file>

<file path=docProps/app.xml><?xml version="1.0" encoding="utf-8"?>
<Properties xmlns="http://schemas.openxmlformats.org/officeDocument/2006/extended-properties" xmlns:vt="http://schemas.openxmlformats.org/officeDocument/2006/docPropsVTypes">
  <Template>3gpp_70.dot</Template>
  <TotalTime>14</TotalTime>
  <Pages>15</Pages>
  <Words>3978</Words>
  <Characters>22458</Characters>
  <Application>Microsoft Office Word</Application>
  <DocSecurity>0</DocSecurity>
  <Lines>187</Lines>
  <Paragraphs>52</Paragraphs>
  <ScaleCrop>false</ScaleCrop>
  <Company>ETSI Sophia Antipolis</Company>
  <LinksUpToDate>false</LinksUpToDate>
  <CharactersWithSpaces>26384</CharactersWithSpaces>
  <SharedDoc>false</SharedDoc>
  <HLinks>
    <vt:vector size="156" baseType="variant">
      <vt:variant>
        <vt:i4>65656</vt:i4>
      </vt:variant>
      <vt:variant>
        <vt:i4>168</vt:i4>
      </vt:variant>
      <vt:variant>
        <vt:i4>0</vt:i4>
      </vt:variant>
      <vt:variant>
        <vt:i4>5</vt:i4>
      </vt:variant>
      <vt:variant>
        <vt:lpwstr>https://www.ntia.doc.gov/files/ntia/publications/compendium/1660.00-1660.50_01MAY15.pdf</vt:lpwstr>
      </vt:variant>
      <vt:variant>
        <vt:lpwstr/>
      </vt:variant>
      <vt:variant>
        <vt:i4>917546</vt:i4>
      </vt:variant>
      <vt:variant>
        <vt:i4>165</vt:i4>
      </vt:variant>
      <vt:variant>
        <vt:i4>0</vt:i4>
      </vt:variant>
      <vt:variant>
        <vt:i4>5</vt:i4>
      </vt:variant>
      <vt:variant>
        <vt:lpwstr>https://www.ntia.gov/files/ntia/publications/compendium/1660.50-1668.40_01DEC15.pdf</vt:lpwstr>
      </vt:variant>
      <vt:variant>
        <vt:lpwstr/>
      </vt:variant>
      <vt:variant>
        <vt:i4>5767180</vt:i4>
      </vt:variant>
      <vt:variant>
        <vt:i4>162</vt:i4>
      </vt:variant>
      <vt:variant>
        <vt:i4>0</vt:i4>
      </vt:variant>
      <vt:variant>
        <vt:i4>5</vt:i4>
      </vt:variant>
      <vt:variant>
        <vt:lpwstr>https://www.ecfr.gov/current/title-47/chapter-I/subchapter-B/part-25</vt:lpwstr>
      </vt:variant>
      <vt:variant>
        <vt:lpwstr>p-25.202</vt:lpwstr>
      </vt:variant>
      <vt:variant>
        <vt:i4>6357026</vt:i4>
      </vt:variant>
      <vt:variant>
        <vt:i4>159</vt:i4>
      </vt:variant>
      <vt:variant>
        <vt:i4>0</vt:i4>
      </vt:variant>
      <vt:variant>
        <vt:i4>5</vt:i4>
      </vt:variant>
      <vt:variant>
        <vt:lpwstr>https://www.ecfr.gov/current/title-47/chapter-I/subchapter-A/part-2/subpart-B/section-2.106</vt:lpwstr>
      </vt:variant>
      <vt:variant>
        <vt:lpwstr/>
      </vt:variant>
      <vt:variant>
        <vt:i4>7274604</vt:i4>
      </vt:variant>
      <vt:variant>
        <vt:i4>156</vt:i4>
      </vt:variant>
      <vt:variant>
        <vt:i4>0</vt:i4>
      </vt:variant>
      <vt:variant>
        <vt:i4>5</vt:i4>
      </vt:variant>
      <vt:variant>
        <vt:lpwstr>https://www.etsi.org/deliver/etsi_en/301600_301699/301681/02.01.02_60/en_301681v020102p.pdf</vt:lpwstr>
      </vt:variant>
      <vt:variant>
        <vt:lpwstr/>
      </vt:variant>
      <vt:variant>
        <vt:i4>3670126</vt:i4>
      </vt:variant>
      <vt:variant>
        <vt:i4>153</vt:i4>
      </vt:variant>
      <vt:variant>
        <vt:i4>0</vt:i4>
      </vt:variant>
      <vt:variant>
        <vt:i4>5</vt:i4>
      </vt:variant>
      <vt:variant>
        <vt:lpwstr>https://www.itu.int/rec/R-REC-M.1480-0-200005-I/en</vt:lpwstr>
      </vt:variant>
      <vt:variant>
        <vt:lpwstr/>
      </vt:variant>
      <vt:variant>
        <vt:i4>1441848</vt:i4>
      </vt:variant>
      <vt:variant>
        <vt:i4>149</vt:i4>
      </vt:variant>
      <vt:variant>
        <vt:i4>0</vt:i4>
      </vt:variant>
      <vt:variant>
        <vt:i4>5</vt:i4>
      </vt:variant>
      <vt:variant>
        <vt:lpwstr/>
      </vt:variant>
      <vt:variant>
        <vt:lpwstr>_Toc179739381</vt:lpwstr>
      </vt:variant>
      <vt:variant>
        <vt:i4>1441848</vt:i4>
      </vt:variant>
      <vt:variant>
        <vt:i4>146</vt:i4>
      </vt:variant>
      <vt:variant>
        <vt:i4>0</vt:i4>
      </vt:variant>
      <vt:variant>
        <vt:i4>5</vt:i4>
      </vt:variant>
      <vt:variant>
        <vt:lpwstr/>
      </vt:variant>
      <vt:variant>
        <vt:lpwstr>_Toc179739380</vt:lpwstr>
      </vt:variant>
      <vt:variant>
        <vt:i4>1638456</vt:i4>
      </vt:variant>
      <vt:variant>
        <vt:i4>143</vt:i4>
      </vt:variant>
      <vt:variant>
        <vt:i4>0</vt:i4>
      </vt:variant>
      <vt:variant>
        <vt:i4>5</vt:i4>
      </vt:variant>
      <vt:variant>
        <vt:lpwstr/>
      </vt:variant>
      <vt:variant>
        <vt:lpwstr>_Toc179739379</vt:lpwstr>
      </vt:variant>
      <vt:variant>
        <vt:i4>1638456</vt:i4>
      </vt:variant>
      <vt:variant>
        <vt:i4>140</vt:i4>
      </vt:variant>
      <vt:variant>
        <vt:i4>0</vt:i4>
      </vt:variant>
      <vt:variant>
        <vt:i4>5</vt:i4>
      </vt:variant>
      <vt:variant>
        <vt:lpwstr/>
      </vt:variant>
      <vt:variant>
        <vt:lpwstr>_Toc179739378</vt:lpwstr>
      </vt:variant>
      <vt:variant>
        <vt:i4>1638456</vt:i4>
      </vt:variant>
      <vt:variant>
        <vt:i4>137</vt:i4>
      </vt:variant>
      <vt:variant>
        <vt:i4>0</vt:i4>
      </vt:variant>
      <vt:variant>
        <vt:i4>5</vt:i4>
      </vt:variant>
      <vt:variant>
        <vt:lpwstr/>
      </vt:variant>
      <vt:variant>
        <vt:lpwstr>_Toc179739377</vt:lpwstr>
      </vt:variant>
      <vt:variant>
        <vt:i4>1638456</vt:i4>
      </vt:variant>
      <vt:variant>
        <vt:i4>134</vt:i4>
      </vt:variant>
      <vt:variant>
        <vt:i4>0</vt:i4>
      </vt:variant>
      <vt:variant>
        <vt:i4>5</vt:i4>
      </vt:variant>
      <vt:variant>
        <vt:lpwstr/>
      </vt:variant>
      <vt:variant>
        <vt:lpwstr>_Toc179739376</vt:lpwstr>
      </vt:variant>
      <vt:variant>
        <vt:i4>1638456</vt:i4>
      </vt:variant>
      <vt:variant>
        <vt:i4>131</vt:i4>
      </vt:variant>
      <vt:variant>
        <vt:i4>0</vt:i4>
      </vt:variant>
      <vt:variant>
        <vt:i4>5</vt:i4>
      </vt:variant>
      <vt:variant>
        <vt:lpwstr/>
      </vt:variant>
      <vt:variant>
        <vt:lpwstr>_Toc179739375</vt:lpwstr>
      </vt:variant>
      <vt:variant>
        <vt:i4>1638456</vt:i4>
      </vt:variant>
      <vt:variant>
        <vt:i4>128</vt:i4>
      </vt:variant>
      <vt:variant>
        <vt:i4>0</vt:i4>
      </vt:variant>
      <vt:variant>
        <vt:i4>5</vt:i4>
      </vt:variant>
      <vt:variant>
        <vt:lpwstr/>
      </vt:variant>
      <vt:variant>
        <vt:lpwstr>_Toc179739374</vt:lpwstr>
      </vt:variant>
      <vt:variant>
        <vt:i4>1638456</vt:i4>
      </vt:variant>
      <vt:variant>
        <vt:i4>125</vt:i4>
      </vt:variant>
      <vt:variant>
        <vt:i4>0</vt:i4>
      </vt:variant>
      <vt:variant>
        <vt:i4>5</vt:i4>
      </vt:variant>
      <vt:variant>
        <vt:lpwstr/>
      </vt:variant>
      <vt:variant>
        <vt:lpwstr>_Toc179739373</vt:lpwstr>
      </vt:variant>
      <vt:variant>
        <vt:i4>1638456</vt:i4>
      </vt:variant>
      <vt:variant>
        <vt:i4>122</vt:i4>
      </vt:variant>
      <vt:variant>
        <vt:i4>0</vt:i4>
      </vt:variant>
      <vt:variant>
        <vt:i4>5</vt:i4>
      </vt:variant>
      <vt:variant>
        <vt:lpwstr/>
      </vt:variant>
      <vt:variant>
        <vt:lpwstr>_Toc179739372</vt:lpwstr>
      </vt:variant>
      <vt:variant>
        <vt:i4>1638456</vt:i4>
      </vt:variant>
      <vt:variant>
        <vt:i4>119</vt:i4>
      </vt:variant>
      <vt:variant>
        <vt:i4>0</vt:i4>
      </vt:variant>
      <vt:variant>
        <vt:i4>5</vt:i4>
      </vt:variant>
      <vt:variant>
        <vt:lpwstr/>
      </vt:variant>
      <vt:variant>
        <vt:lpwstr>_Toc179739371</vt:lpwstr>
      </vt:variant>
      <vt:variant>
        <vt:i4>2031677</vt:i4>
      </vt:variant>
      <vt:variant>
        <vt:i4>113</vt:i4>
      </vt:variant>
      <vt:variant>
        <vt:i4>0</vt:i4>
      </vt:variant>
      <vt:variant>
        <vt:i4>5</vt:i4>
      </vt:variant>
      <vt:variant>
        <vt:lpwstr/>
      </vt:variant>
      <vt:variant>
        <vt:lpwstr>_Toc179739617</vt:lpwstr>
      </vt:variant>
      <vt:variant>
        <vt:i4>2031677</vt:i4>
      </vt:variant>
      <vt:variant>
        <vt:i4>110</vt:i4>
      </vt:variant>
      <vt:variant>
        <vt:i4>0</vt:i4>
      </vt:variant>
      <vt:variant>
        <vt:i4>5</vt:i4>
      </vt:variant>
      <vt:variant>
        <vt:lpwstr/>
      </vt:variant>
      <vt:variant>
        <vt:lpwstr>_Toc179739616</vt:lpwstr>
      </vt:variant>
      <vt:variant>
        <vt:i4>2031677</vt:i4>
      </vt:variant>
      <vt:variant>
        <vt:i4>107</vt:i4>
      </vt:variant>
      <vt:variant>
        <vt:i4>0</vt:i4>
      </vt:variant>
      <vt:variant>
        <vt:i4>5</vt:i4>
      </vt:variant>
      <vt:variant>
        <vt:lpwstr/>
      </vt:variant>
      <vt:variant>
        <vt:lpwstr>_Toc179739615</vt:lpwstr>
      </vt:variant>
      <vt:variant>
        <vt:i4>2031677</vt:i4>
      </vt:variant>
      <vt:variant>
        <vt:i4>104</vt:i4>
      </vt:variant>
      <vt:variant>
        <vt:i4>0</vt:i4>
      </vt:variant>
      <vt:variant>
        <vt:i4>5</vt:i4>
      </vt:variant>
      <vt:variant>
        <vt:lpwstr/>
      </vt:variant>
      <vt:variant>
        <vt:lpwstr>_Toc179739614</vt:lpwstr>
      </vt:variant>
      <vt:variant>
        <vt:i4>2031677</vt:i4>
      </vt:variant>
      <vt:variant>
        <vt:i4>101</vt:i4>
      </vt:variant>
      <vt:variant>
        <vt:i4>0</vt:i4>
      </vt:variant>
      <vt:variant>
        <vt:i4>5</vt:i4>
      </vt:variant>
      <vt:variant>
        <vt:lpwstr/>
      </vt:variant>
      <vt:variant>
        <vt:lpwstr>_Toc179739613</vt:lpwstr>
      </vt:variant>
      <vt:variant>
        <vt:i4>2031677</vt:i4>
      </vt:variant>
      <vt:variant>
        <vt:i4>98</vt:i4>
      </vt:variant>
      <vt:variant>
        <vt:i4>0</vt:i4>
      </vt:variant>
      <vt:variant>
        <vt:i4>5</vt:i4>
      </vt:variant>
      <vt:variant>
        <vt:lpwstr/>
      </vt:variant>
      <vt:variant>
        <vt:lpwstr>_Toc179739612</vt:lpwstr>
      </vt:variant>
      <vt:variant>
        <vt:i4>2031677</vt:i4>
      </vt:variant>
      <vt:variant>
        <vt:i4>95</vt:i4>
      </vt:variant>
      <vt:variant>
        <vt:i4>0</vt:i4>
      </vt:variant>
      <vt:variant>
        <vt:i4>5</vt:i4>
      </vt:variant>
      <vt:variant>
        <vt:lpwstr/>
      </vt:variant>
      <vt:variant>
        <vt:lpwstr>_Toc179739611</vt:lpwstr>
      </vt:variant>
      <vt:variant>
        <vt:i4>2031677</vt:i4>
      </vt:variant>
      <vt:variant>
        <vt:i4>92</vt:i4>
      </vt:variant>
      <vt:variant>
        <vt:i4>0</vt:i4>
      </vt:variant>
      <vt:variant>
        <vt:i4>5</vt:i4>
      </vt:variant>
      <vt:variant>
        <vt:lpwstr/>
      </vt:variant>
      <vt:variant>
        <vt:lpwstr>_Toc179739610</vt:lpwstr>
      </vt:variant>
      <vt:variant>
        <vt:i4>1966141</vt:i4>
      </vt:variant>
      <vt:variant>
        <vt:i4>89</vt:i4>
      </vt:variant>
      <vt:variant>
        <vt:i4>0</vt:i4>
      </vt:variant>
      <vt:variant>
        <vt:i4>5</vt:i4>
      </vt:variant>
      <vt:variant>
        <vt:lpwstr/>
      </vt:variant>
      <vt:variant>
        <vt:lpwstr>_Toc179739609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Alexander Rhodes</dc:creator>
  <cp:keywords>ESA, style sheet, Winword</cp:keywords>
  <dc:description/>
  <cp:lastModifiedBy>Luca Lodigiani</cp:lastModifiedBy>
  <cp:revision>24</cp:revision>
  <cp:lastPrinted>1900-01-01T08:00:00Z</cp:lastPrinted>
  <dcterms:created xsi:type="dcterms:W3CDTF">2024-10-23T14:56:00Z</dcterms:created>
  <dcterms:modified xsi:type="dcterms:W3CDTF">2024-11-08T22:14:00Z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0x010100B98573469650B343AF314866C5FCEB84</vt:lpwstr>
  </property>
  <property fmtid="{D5CDD505-2E9C-101B-9397-08002B2CF9AE}" pid="3" name="MediaServiceImageTags">
    <vt:lpwstr/>
  </property>
</Properties>
</file>